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C985D" w14:textId="77777777" w:rsidR="00ED50AF" w:rsidRDefault="00ED50AF">
      <w:pPr>
        <w:pStyle w:val="Heading1"/>
        <w:keepNext w:val="0"/>
        <w:keepLines w:val="0"/>
        <w:spacing w:before="480"/>
        <w:rPr>
          <w:b/>
          <w:sz w:val="36"/>
          <w:szCs w:val="36"/>
          <w:lang w:val="fr-FR"/>
        </w:rPr>
      </w:pPr>
      <w:bookmarkStart w:id="0" w:name="_tovq0yuq6pi1" w:colFirst="0" w:colLast="0"/>
      <w:bookmarkEnd w:id="0"/>
    </w:p>
    <w:p w14:paraId="00000001" w14:textId="445B81BA" w:rsidR="005323CE" w:rsidRPr="007D6499" w:rsidRDefault="000403DB">
      <w:pPr>
        <w:pStyle w:val="Heading1"/>
        <w:keepNext w:val="0"/>
        <w:keepLines w:val="0"/>
        <w:spacing w:before="480"/>
        <w:rPr>
          <w:b/>
          <w:sz w:val="36"/>
          <w:szCs w:val="36"/>
          <w:lang w:val="fr-FR"/>
        </w:rPr>
      </w:pPr>
      <w:r w:rsidRPr="007D6499">
        <w:rPr>
          <w:b/>
          <w:sz w:val="36"/>
          <w:szCs w:val="36"/>
          <w:lang w:val="fr-FR"/>
        </w:rPr>
        <w:t>Termes de référence (</w:t>
      </w:r>
      <w:proofErr w:type="spellStart"/>
      <w:r w:rsidRPr="007D6499">
        <w:rPr>
          <w:b/>
          <w:sz w:val="36"/>
          <w:szCs w:val="36"/>
          <w:lang w:val="fr-FR"/>
        </w:rPr>
        <w:t>TdR</w:t>
      </w:r>
      <w:proofErr w:type="spellEnd"/>
      <w:r w:rsidRPr="007D6499">
        <w:rPr>
          <w:b/>
          <w:sz w:val="36"/>
          <w:szCs w:val="36"/>
          <w:lang w:val="fr-FR"/>
        </w:rPr>
        <w:t xml:space="preserve">) : Étude de capitalisation des 10 ans du programme PPI OSCAN et élaboration de la stratégie de l'UICN-Med d’appui aux organisations de la société civile en Méditerranée </w:t>
      </w:r>
    </w:p>
    <w:p w14:paraId="00000002" w14:textId="77777777" w:rsidR="005323CE" w:rsidRDefault="000403DB">
      <w:pPr>
        <w:pStyle w:val="Title"/>
        <w:numPr>
          <w:ilvl w:val="0"/>
          <w:numId w:val="2"/>
        </w:numPr>
        <w:spacing w:before="240" w:after="240"/>
        <w:rPr>
          <w:b/>
          <w:sz w:val="32"/>
          <w:szCs w:val="32"/>
        </w:rPr>
      </w:pPr>
      <w:bookmarkStart w:id="1" w:name="_nzd6c21thlha" w:colFirst="0" w:colLast="0"/>
      <w:bookmarkEnd w:id="1"/>
      <w:proofErr w:type="spellStart"/>
      <w:proofErr w:type="gramStart"/>
      <w:r>
        <w:rPr>
          <w:b/>
          <w:sz w:val="32"/>
          <w:szCs w:val="32"/>
        </w:rPr>
        <w:t>Introduction</w:t>
      </w:r>
      <w:proofErr w:type="spellEnd"/>
      <w:r>
        <w:rPr>
          <w:b/>
          <w:sz w:val="32"/>
          <w:szCs w:val="32"/>
        </w:rPr>
        <w:t xml:space="preserve"> :</w:t>
      </w:r>
      <w:bookmarkStart w:id="2" w:name="_GoBack"/>
      <w:bookmarkEnd w:id="2"/>
      <w:proofErr w:type="gramEnd"/>
    </w:p>
    <w:p w14:paraId="00000003" w14:textId="77777777" w:rsidR="005323CE" w:rsidRPr="007D6499" w:rsidRDefault="000403DB">
      <w:pPr>
        <w:spacing w:before="240" w:after="240"/>
        <w:rPr>
          <w:lang w:val="fr-FR"/>
        </w:rPr>
      </w:pPr>
      <w:r w:rsidRPr="007D6499">
        <w:rPr>
          <w:lang w:val="fr-FR"/>
        </w:rPr>
        <w:t xml:space="preserve">L'Union internationale pour la conservation de la nature (UICN) à travers son Centre de Coopération pour la Méditerranée (UICN-Med), basé en Espagne, s'engage activement dans le soutien aux organisations de la société civile (OSC) œuvrant pour la préservation de l'environnement et la résilience des communautés locales. Cette relation se manifeste de deux manières principales : d'une part, à travers ses programmes d'appui et financement dédiés aux OSC, notamment le Programme de Petites Initiatives pour les Organisations de la Société Civile en Afrique du Nord (PPI OSCAN) et le programme </w:t>
      </w:r>
      <w:proofErr w:type="spellStart"/>
      <w:r w:rsidRPr="007D6499">
        <w:rPr>
          <w:lang w:val="fr-FR"/>
        </w:rPr>
        <w:t>TransCap</w:t>
      </w:r>
      <w:proofErr w:type="spellEnd"/>
      <w:r w:rsidRPr="007D6499">
        <w:rPr>
          <w:lang w:val="fr-FR"/>
        </w:rPr>
        <w:t xml:space="preserve"> ; d'autre part, en tant qu'organisation de membres, l'UICN compte actuellement 34 membres de la société civile en Afrique du Nord qui contribuent activement à la mise en œuvre du Programme Afrique du Nord de l'UICN.</w:t>
      </w:r>
    </w:p>
    <w:p w14:paraId="00112FD8" w14:textId="77777777" w:rsidR="007D6499" w:rsidRDefault="000403DB" w:rsidP="007D6499">
      <w:pPr>
        <w:pStyle w:val="ListParagraph"/>
        <w:numPr>
          <w:ilvl w:val="0"/>
          <w:numId w:val="9"/>
        </w:numPr>
        <w:spacing w:before="240" w:after="240"/>
        <w:rPr>
          <w:lang w:val="fr-FR"/>
        </w:rPr>
      </w:pPr>
      <w:r w:rsidRPr="007D6499">
        <w:rPr>
          <w:lang w:val="fr-FR"/>
        </w:rPr>
        <w:t xml:space="preserve">Le PPI OSCAN, lancé en 2014, vise à soutenir des OSC en Algérie, au Maroc, en Libye et en Tunisie. Par le biais de ce programme, 37 organisations ont été soutenues lors de sa première phase (2014-2017), 43 lors de sa deuxième (2018-2021), et le PPI OSCAN 3 (2022-2025) soutient 11 organisations </w:t>
      </w:r>
      <w:proofErr w:type="gramStart"/>
      <w:r w:rsidRPr="007D6499">
        <w:rPr>
          <w:lang w:val="fr-FR"/>
        </w:rPr>
        <w:t>historiques</w:t>
      </w:r>
      <w:proofErr w:type="gramEnd"/>
      <w:r w:rsidRPr="007D6499">
        <w:rPr>
          <w:lang w:val="fr-FR"/>
        </w:rPr>
        <w:t xml:space="preserve"> et 17 nouvelles jusqu'en avril 2025. Cette troisième phase est financée par le Fonds français pour l'environnement mondial (FFEM), la Fondation MAVA et la Fondation Sigrid </w:t>
      </w:r>
      <w:proofErr w:type="spellStart"/>
      <w:r w:rsidRPr="007D6499">
        <w:rPr>
          <w:lang w:val="fr-FR"/>
        </w:rPr>
        <w:t>Rausing</w:t>
      </w:r>
      <w:proofErr w:type="spellEnd"/>
      <w:r w:rsidRPr="007D6499">
        <w:rPr>
          <w:lang w:val="fr-FR"/>
        </w:rPr>
        <w:t xml:space="preserve"> Trust. Les subventions octroyées aux OSC visent la conservation </w:t>
      </w:r>
      <w:bookmarkStart w:id="3" w:name="_Hlk162437590"/>
      <w:r w:rsidRPr="007D6499">
        <w:rPr>
          <w:lang w:val="fr-FR"/>
        </w:rPr>
        <w:t xml:space="preserve">d'espèces et d'écosystèmes </w:t>
      </w:r>
      <w:bookmarkEnd w:id="3"/>
      <w:r w:rsidRPr="007D6499">
        <w:rPr>
          <w:lang w:val="fr-FR"/>
        </w:rPr>
        <w:t>remarquables, ainsi que la promotion des avantages de la conservation et des moyens de subsistance durables.</w:t>
      </w:r>
    </w:p>
    <w:p w14:paraId="7B01D5AB" w14:textId="77777777" w:rsidR="007D6499" w:rsidRDefault="007D6499" w:rsidP="007D6499">
      <w:pPr>
        <w:pStyle w:val="ListParagraph"/>
        <w:spacing w:before="240" w:after="240"/>
        <w:ind w:left="1080"/>
        <w:rPr>
          <w:lang w:val="fr-FR"/>
        </w:rPr>
      </w:pPr>
    </w:p>
    <w:p w14:paraId="00000005" w14:textId="217AD384" w:rsidR="005323CE" w:rsidRPr="007D6499" w:rsidRDefault="000403DB" w:rsidP="007D6499">
      <w:pPr>
        <w:pStyle w:val="ListParagraph"/>
        <w:numPr>
          <w:ilvl w:val="0"/>
          <w:numId w:val="9"/>
        </w:numPr>
        <w:spacing w:before="240" w:after="240"/>
        <w:rPr>
          <w:lang w:val="fr-FR"/>
        </w:rPr>
      </w:pPr>
      <w:r w:rsidRPr="007D6499">
        <w:rPr>
          <w:lang w:val="fr-FR"/>
        </w:rPr>
        <w:t xml:space="preserve">Le </w:t>
      </w:r>
      <w:proofErr w:type="spellStart"/>
      <w:r w:rsidRPr="007D6499">
        <w:rPr>
          <w:lang w:val="fr-FR"/>
        </w:rPr>
        <w:t>TransCap</w:t>
      </w:r>
      <w:proofErr w:type="spellEnd"/>
      <w:r w:rsidRPr="007D6499">
        <w:rPr>
          <w:lang w:val="fr-FR"/>
        </w:rPr>
        <w:t xml:space="preserve">, initié par un financement de la Direction générale de la coopération des îles Baléares en 2021, vise à soutenir des projets adressant le changement climatique et améliorant les conditions de vie des populations dans les provinces méditerranéennes marocaines et tunisiennes. Douze organisations ont reçu une subvention d'un an de </w:t>
      </w:r>
      <w:proofErr w:type="spellStart"/>
      <w:r w:rsidRPr="007D6499">
        <w:rPr>
          <w:lang w:val="fr-FR"/>
        </w:rPr>
        <w:t>TransCap</w:t>
      </w:r>
      <w:proofErr w:type="spellEnd"/>
      <w:r w:rsidRPr="007D6499">
        <w:rPr>
          <w:lang w:val="fr-FR"/>
        </w:rPr>
        <w:t xml:space="preserve"> 1 et 2, et 6 organisations bénéficient actuellement de </w:t>
      </w:r>
      <w:proofErr w:type="spellStart"/>
      <w:r w:rsidRPr="007D6499">
        <w:rPr>
          <w:lang w:val="fr-FR"/>
        </w:rPr>
        <w:t>TransCap</w:t>
      </w:r>
      <w:proofErr w:type="spellEnd"/>
      <w:r w:rsidRPr="007D6499">
        <w:rPr>
          <w:lang w:val="fr-FR"/>
        </w:rPr>
        <w:t xml:space="preserve"> 3 d'octobre 2023 à mai 2025.</w:t>
      </w:r>
    </w:p>
    <w:p w14:paraId="00000006" w14:textId="77777777" w:rsidR="005323CE" w:rsidRPr="007D6499" w:rsidRDefault="000403DB">
      <w:pPr>
        <w:spacing w:before="240" w:after="240"/>
        <w:rPr>
          <w:color w:val="0D0D0D"/>
          <w:highlight w:val="white"/>
          <w:lang w:val="fr-FR"/>
        </w:rPr>
      </w:pPr>
      <w:r w:rsidRPr="007D6499">
        <w:rPr>
          <w:lang w:val="fr-FR"/>
        </w:rPr>
        <w:t xml:space="preserve">Conscient de l'importance de communiquer efficacement sur ces actions et de renforcer les liens avec les OSC, l'UICN-Med a développé en 2023 la stratégie de communication </w:t>
      </w:r>
      <w:proofErr w:type="spellStart"/>
      <w:r w:rsidRPr="007D6499">
        <w:rPr>
          <w:lang w:val="fr-FR"/>
        </w:rPr>
        <w:t>Mubadarat</w:t>
      </w:r>
      <w:proofErr w:type="spellEnd"/>
      <w:r w:rsidRPr="007D6499">
        <w:rPr>
          <w:color w:val="0D0D0D"/>
          <w:highlight w:val="white"/>
          <w:lang w:val="fr-FR"/>
        </w:rPr>
        <w:t xml:space="preserve">. Initialement conçue pour promouvoir les réalisations des programmes PPI </w:t>
      </w:r>
      <w:r w:rsidRPr="007D6499">
        <w:rPr>
          <w:color w:val="0D0D0D"/>
          <w:highlight w:val="white"/>
          <w:lang w:val="fr-FR"/>
        </w:rPr>
        <w:lastRenderedPageBreak/>
        <w:t xml:space="preserve">OSCAN et </w:t>
      </w:r>
      <w:proofErr w:type="spellStart"/>
      <w:r w:rsidRPr="007D6499">
        <w:rPr>
          <w:color w:val="0D0D0D"/>
          <w:highlight w:val="white"/>
          <w:lang w:val="fr-FR"/>
        </w:rPr>
        <w:t>TransCap</w:t>
      </w:r>
      <w:proofErr w:type="spellEnd"/>
      <w:r w:rsidRPr="007D6499">
        <w:rPr>
          <w:color w:val="0D0D0D"/>
          <w:highlight w:val="white"/>
          <w:lang w:val="fr-FR"/>
        </w:rPr>
        <w:t xml:space="preserve">, cette stratégie offre une visibilité internationale aux organisations </w:t>
      </w:r>
      <w:proofErr w:type="gramStart"/>
      <w:r w:rsidRPr="007D6499">
        <w:rPr>
          <w:color w:val="0D0D0D"/>
          <w:highlight w:val="white"/>
          <w:lang w:val="fr-FR"/>
        </w:rPr>
        <w:t>bénéficiaires:</w:t>
      </w:r>
      <w:proofErr w:type="gramEnd"/>
      <w:r w:rsidRPr="007D6499">
        <w:rPr>
          <w:color w:val="0D0D0D"/>
          <w:highlight w:val="white"/>
          <w:lang w:val="fr-FR"/>
        </w:rPr>
        <w:t xml:space="preserve"> </w:t>
      </w:r>
      <w:hyperlink r:id="rId7">
        <w:r w:rsidRPr="007D6499">
          <w:rPr>
            <w:color w:val="1155CC"/>
            <w:highlight w:val="white"/>
            <w:u w:val="single"/>
            <w:lang w:val="fr-FR"/>
          </w:rPr>
          <w:t>https://mubadarat-uicn.org</w:t>
        </w:r>
      </w:hyperlink>
    </w:p>
    <w:p w14:paraId="00000007" w14:textId="77777777" w:rsidR="005323CE" w:rsidRPr="007D6499" w:rsidRDefault="005323CE">
      <w:pPr>
        <w:spacing w:before="240" w:after="240"/>
        <w:rPr>
          <w:color w:val="0D0D0D"/>
          <w:highlight w:val="white"/>
          <w:lang w:val="fr-FR"/>
        </w:rPr>
      </w:pPr>
    </w:p>
    <w:p w14:paraId="00000008" w14:textId="77777777" w:rsidR="005323CE" w:rsidRPr="007D6499" w:rsidRDefault="005323CE">
      <w:pPr>
        <w:spacing w:before="240" w:after="240"/>
        <w:rPr>
          <w:lang w:val="fr-FR"/>
        </w:rPr>
      </w:pPr>
    </w:p>
    <w:p w14:paraId="00000009" w14:textId="77777777" w:rsidR="005323CE" w:rsidRDefault="000403DB">
      <w:pPr>
        <w:pStyle w:val="Title"/>
        <w:numPr>
          <w:ilvl w:val="0"/>
          <w:numId w:val="2"/>
        </w:numPr>
        <w:pBdr>
          <w:top w:val="nil"/>
          <w:left w:val="nil"/>
          <w:bottom w:val="nil"/>
          <w:right w:val="nil"/>
          <w:between w:val="nil"/>
        </w:pBdr>
        <w:spacing w:before="240" w:after="240"/>
        <w:rPr>
          <w:b/>
          <w:sz w:val="32"/>
          <w:szCs w:val="32"/>
        </w:rPr>
      </w:pPr>
      <w:bookmarkStart w:id="4" w:name="_s435xdly9rit" w:colFirst="0" w:colLast="0"/>
      <w:bookmarkEnd w:id="4"/>
      <w:proofErr w:type="spellStart"/>
      <w:proofErr w:type="gramStart"/>
      <w:r>
        <w:rPr>
          <w:b/>
          <w:sz w:val="32"/>
          <w:szCs w:val="32"/>
        </w:rPr>
        <w:t>Objectifs</w:t>
      </w:r>
      <w:proofErr w:type="spellEnd"/>
      <w:r>
        <w:rPr>
          <w:b/>
          <w:sz w:val="32"/>
          <w:szCs w:val="32"/>
        </w:rPr>
        <w:t xml:space="preserve"> :</w:t>
      </w:r>
      <w:proofErr w:type="gramEnd"/>
    </w:p>
    <w:p w14:paraId="0000000A" w14:textId="2CE77A8B" w:rsidR="005323CE" w:rsidRPr="007D6499" w:rsidRDefault="007D6499">
      <w:pPr>
        <w:spacing w:before="240" w:after="240"/>
        <w:rPr>
          <w:lang w:val="fr-FR"/>
        </w:rPr>
      </w:pPr>
      <w:r>
        <w:rPr>
          <w:lang w:val="fr-FR"/>
        </w:rPr>
        <w:t>N</w:t>
      </w:r>
      <w:r w:rsidR="000403DB" w:rsidRPr="007D6499">
        <w:rPr>
          <w:lang w:val="fr-FR"/>
        </w:rPr>
        <w:t>ous souhaitons engager une équipe de consultance pour la réalisation de deux missions distinctes mais complémentaires.</w:t>
      </w:r>
    </w:p>
    <w:p w14:paraId="0000000B" w14:textId="77777777" w:rsidR="005323CE" w:rsidRPr="007D6499" w:rsidRDefault="000403DB">
      <w:pPr>
        <w:spacing w:before="240" w:after="240"/>
        <w:rPr>
          <w:lang w:val="fr-FR"/>
        </w:rPr>
      </w:pPr>
      <w:r w:rsidRPr="007D6499">
        <w:rPr>
          <w:lang w:val="fr-FR"/>
        </w:rPr>
        <w:t>La première mission aura pour objectif de mener une étude de capitalisation approfondie sur le programme PPI OSCAN. L'année 2024 marque le 10e anniversaire du programme, une occasion de capitaliser sur les approches réussies, les méthodologies efficaces et les leçons apprises pour tirer des leçons qui pourront éclairer les phases futures.</w:t>
      </w:r>
    </w:p>
    <w:p w14:paraId="0000000C" w14:textId="0E24BBA0" w:rsidR="005323CE" w:rsidRPr="007D6499" w:rsidRDefault="000403DB">
      <w:pPr>
        <w:spacing w:before="240" w:after="240"/>
        <w:rPr>
          <w:lang w:val="fr-FR"/>
        </w:rPr>
      </w:pPr>
      <w:r w:rsidRPr="007D6499">
        <w:rPr>
          <w:lang w:val="fr-FR"/>
        </w:rPr>
        <w:t xml:space="preserve">La seconde mission sera dédiée à l'élaboration et au renforcement de la stratégie </w:t>
      </w:r>
      <w:proofErr w:type="spellStart"/>
      <w:r w:rsidRPr="007D6499">
        <w:rPr>
          <w:lang w:val="fr-FR"/>
        </w:rPr>
        <w:t>Mubadarat</w:t>
      </w:r>
      <w:proofErr w:type="spellEnd"/>
      <w:r w:rsidRPr="007D6499">
        <w:rPr>
          <w:lang w:val="fr-FR"/>
        </w:rPr>
        <w:t xml:space="preserve"> en tant que pilier central de l'engagement de l'UICN-Med avec la société civile en Méditerranée. L'objectif est de transformer cette stratégie</w:t>
      </w:r>
      <w:r>
        <w:rPr>
          <w:lang w:val="fr-FR"/>
        </w:rPr>
        <w:t>, initialement créée pour la communication,</w:t>
      </w:r>
      <w:r w:rsidRPr="007D6499">
        <w:rPr>
          <w:lang w:val="fr-FR"/>
        </w:rPr>
        <w:t xml:space="preserve"> </w:t>
      </w:r>
      <w:r w:rsidR="007D6499">
        <w:rPr>
          <w:lang w:val="fr-FR"/>
        </w:rPr>
        <w:t xml:space="preserve">pour qu’elle devienne </w:t>
      </w:r>
      <w:r w:rsidRPr="007D6499">
        <w:rPr>
          <w:lang w:val="fr-FR"/>
        </w:rPr>
        <w:t>un cadre global,</w:t>
      </w:r>
      <w:r w:rsidR="00C951E3">
        <w:rPr>
          <w:lang w:val="fr-FR"/>
        </w:rPr>
        <w:t xml:space="preserve"> qui définit les objectifs à long terme de l’UICN-Med et</w:t>
      </w:r>
      <w:r w:rsidRPr="007D6499">
        <w:rPr>
          <w:lang w:val="fr-FR"/>
        </w:rPr>
        <w:t xml:space="preserve"> guidera toutes les actions en matière de soutien à la société civile, offrant une vision cohérente et intégrée pour les années à venir.</w:t>
      </w:r>
    </w:p>
    <w:p w14:paraId="0000000D" w14:textId="77777777" w:rsidR="005323CE" w:rsidRDefault="000403DB">
      <w:pPr>
        <w:pStyle w:val="Title"/>
        <w:numPr>
          <w:ilvl w:val="0"/>
          <w:numId w:val="2"/>
        </w:numPr>
        <w:pBdr>
          <w:top w:val="nil"/>
          <w:left w:val="nil"/>
          <w:bottom w:val="nil"/>
          <w:right w:val="nil"/>
          <w:between w:val="nil"/>
        </w:pBdr>
        <w:spacing w:before="240" w:after="240"/>
        <w:rPr>
          <w:b/>
          <w:sz w:val="32"/>
          <w:szCs w:val="32"/>
        </w:rPr>
      </w:pPr>
      <w:bookmarkStart w:id="5" w:name="_2pc14nt34whm" w:colFirst="0" w:colLast="0"/>
      <w:bookmarkEnd w:id="5"/>
      <w:proofErr w:type="spellStart"/>
      <w:r>
        <w:rPr>
          <w:b/>
          <w:sz w:val="32"/>
          <w:szCs w:val="32"/>
        </w:rPr>
        <w:t>Objectifs</w:t>
      </w:r>
      <w:proofErr w:type="spellEnd"/>
      <w:r>
        <w:rPr>
          <w:b/>
          <w:sz w:val="32"/>
          <w:szCs w:val="32"/>
        </w:rPr>
        <w:t xml:space="preserve"> </w:t>
      </w:r>
      <w:proofErr w:type="spellStart"/>
      <w:proofErr w:type="gramStart"/>
      <w:r>
        <w:rPr>
          <w:b/>
          <w:sz w:val="32"/>
          <w:szCs w:val="32"/>
        </w:rPr>
        <w:t>spécifiques</w:t>
      </w:r>
      <w:proofErr w:type="spellEnd"/>
      <w:r>
        <w:rPr>
          <w:b/>
          <w:sz w:val="32"/>
          <w:szCs w:val="32"/>
        </w:rPr>
        <w:t xml:space="preserve"> :</w:t>
      </w:r>
      <w:proofErr w:type="gramEnd"/>
    </w:p>
    <w:p w14:paraId="0000000E" w14:textId="77777777" w:rsidR="005323CE" w:rsidRDefault="005323CE">
      <w:pPr>
        <w:ind w:left="720"/>
      </w:pPr>
    </w:p>
    <w:p w14:paraId="0000000F" w14:textId="77777777" w:rsidR="005323CE" w:rsidRPr="007D6499" w:rsidRDefault="000403DB">
      <w:pPr>
        <w:numPr>
          <w:ilvl w:val="0"/>
          <w:numId w:val="1"/>
        </w:numPr>
        <w:spacing w:after="240"/>
        <w:ind w:left="708"/>
        <w:rPr>
          <w:b/>
          <w:lang w:val="fr-FR"/>
        </w:rPr>
      </w:pPr>
      <w:r w:rsidRPr="007D6499">
        <w:rPr>
          <w:b/>
          <w:lang w:val="fr-FR"/>
        </w:rPr>
        <w:t>Capitalisation du Programme PPI OSCAN et de sa mise en œuvre :</w:t>
      </w:r>
    </w:p>
    <w:p w14:paraId="00000010" w14:textId="77777777" w:rsidR="005323CE" w:rsidRPr="007D6499" w:rsidRDefault="000403DB">
      <w:pPr>
        <w:spacing w:before="240" w:after="240"/>
        <w:rPr>
          <w:lang w:val="fr-FR"/>
        </w:rPr>
      </w:pPr>
      <w:r w:rsidRPr="007D6499">
        <w:rPr>
          <w:lang w:val="fr-FR"/>
        </w:rPr>
        <w:t>Cette partie s’applique uniquement aux bénéficiaires des 3 phases du PPI OSCAN :</w:t>
      </w:r>
    </w:p>
    <w:p w14:paraId="00000011" w14:textId="77777777" w:rsidR="005323CE" w:rsidRPr="007D6499" w:rsidRDefault="000403DB">
      <w:pPr>
        <w:numPr>
          <w:ilvl w:val="0"/>
          <w:numId w:val="7"/>
        </w:numPr>
        <w:rPr>
          <w:lang w:val="fr-FR"/>
        </w:rPr>
      </w:pPr>
      <w:r w:rsidRPr="007D6499">
        <w:rPr>
          <w:lang w:val="fr-FR"/>
        </w:rPr>
        <w:t>Explorer le processus de mise en œuvre du programme PPI OSCAN, y compris la sélection des projets, l'allocation des financements, la coordination régionale et nationale, et le suivi des projets.</w:t>
      </w:r>
    </w:p>
    <w:p w14:paraId="00000012" w14:textId="77777777" w:rsidR="005323CE" w:rsidRPr="007D6499" w:rsidRDefault="000403DB">
      <w:pPr>
        <w:numPr>
          <w:ilvl w:val="0"/>
          <w:numId w:val="7"/>
        </w:numPr>
        <w:rPr>
          <w:lang w:val="fr-FR"/>
        </w:rPr>
      </w:pPr>
      <w:r w:rsidRPr="007D6499">
        <w:rPr>
          <w:lang w:val="fr-FR"/>
        </w:rPr>
        <w:t>Explorer le soutien au renforcement des capacités fourni aux OSC et évaluer son efficacité dans l'amélioration des capacités organisationnelles.</w:t>
      </w:r>
    </w:p>
    <w:p w14:paraId="00000013" w14:textId="77777777" w:rsidR="005323CE" w:rsidRPr="007D6499" w:rsidRDefault="000403DB">
      <w:pPr>
        <w:numPr>
          <w:ilvl w:val="0"/>
          <w:numId w:val="7"/>
        </w:numPr>
        <w:rPr>
          <w:lang w:val="fr-FR"/>
        </w:rPr>
      </w:pPr>
      <w:r w:rsidRPr="007D6499">
        <w:rPr>
          <w:lang w:val="fr-FR"/>
        </w:rPr>
        <w:t>Documenter les bonnes pratiques, les leçons apprises et les défis rencontrés lors de la mise en œuvre des projets PPI OSCAN.</w:t>
      </w:r>
    </w:p>
    <w:p w14:paraId="0C1EBFC4" w14:textId="4F3B50E6" w:rsidR="00FB3267" w:rsidRPr="007D6499" w:rsidRDefault="00FB3267">
      <w:pPr>
        <w:numPr>
          <w:ilvl w:val="0"/>
          <w:numId w:val="7"/>
        </w:numPr>
        <w:rPr>
          <w:lang w:val="fr-FR"/>
        </w:rPr>
      </w:pPr>
      <w:r w:rsidRPr="00FB3267">
        <w:rPr>
          <w:lang w:val="fr-FR"/>
        </w:rPr>
        <w:t xml:space="preserve">Déterminez les indicateurs clés </w:t>
      </w:r>
      <w:r>
        <w:rPr>
          <w:lang w:val="fr-FR"/>
        </w:rPr>
        <w:t>et</w:t>
      </w:r>
      <w:r w:rsidRPr="00FB3267">
        <w:rPr>
          <w:lang w:val="fr-FR"/>
        </w:rPr>
        <w:t xml:space="preserve"> mesurer l'impact du programme</w:t>
      </w:r>
      <w:r w:rsidR="000C1BB6">
        <w:rPr>
          <w:lang w:val="fr-FR"/>
        </w:rPr>
        <w:t xml:space="preserve"> en lien avec ses objectifs</w:t>
      </w:r>
    </w:p>
    <w:p w14:paraId="00000015" w14:textId="77777777" w:rsidR="005323CE" w:rsidRPr="007D6499" w:rsidRDefault="000403DB">
      <w:pPr>
        <w:numPr>
          <w:ilvl w:val="0"/>
          <w:numId w:val="7"/>
        </w:numPr>
        <w:rPr>
          <w:lang w:val="fr-FR"/>
        </w:rPr>
      </w:pPr>
      <w:r w:rsidRPr="007D6499">
        <w:rPr>
          <w:lang w:val="fr-FR"/>
        </w:rPr>
        <w:t>Identifier les stratégies et méthodologies réussies utilisées par les OSC en matière de gestion de projet, d'engagement communautaire et de plaidoyer.</w:t>
      </w:r>
    </w:p>
    <w:p w14:paraId="00000016" w14:textId="77777777" w:rsidR="005323CE" w:rsidRPr="007D6499" w:rsidRDefault="000403DB">
      <w:pPr>
        <w:numPr>
          <w:ilvl w:val="0"/>
          <w:numId w:val="7"/>
        </w:numPr>
        <w:spacing w:after="240"/>
        <w:rPr>
          <w:lang w:val="fr-FR"/>
        </w:rPr>
      </w:pPr>
      <w:r w:rsidRPr="007D6499">
        <w:rPr>
          <w:lang w:val="fr-FR"/>
        </w:rPr>
        <w:t>Exploiter les résultats pour améliorer la conception future du programme, les stratégies de mise en œuvre et l'allocation des ressources pour les phases futures du programme.</w:t>
      </w:r>
    </w:p>
    <w:p w14:paraId="00000017" w14:textId="27DA6429" w:rsidR="005323CE" w:rsidRPr="007D6499" w:rsidRDefault="000403DB">
      <w:pPr>
        <w:spacing w:before="240" w:after="240"/>
        <w:ind w:left="708" w:hanging="360"/>
        <w:rPr>
          <w:lang w:val="fr-FR"/>
        </w:rPr>
      </w:pPr>
      <w:r w:rsidRPr="007D6499">
        <w:rPr>
          <w:b/>
          <w:lang w:val="fr-FR"/>
        </w:rPr>
        <w:t xml:space="preserve">B.   </w:t>
      </w:r>
      <w:r w:rsidR="00C951E3">
        <w:rPr>
          <w:b/>
          <w:lang w:val="fr-FR"/>
        </w:rPr>
        <w:t>E</w:t>
      </w:r>
      <w:r w:rsidRPr="007D6499">
        <w:rPr>
          <w:b/>
          <w:lang w:val="fr-FR"/>
        </w:rPr>
        <w:t xml:space="preserve">laboration de la stratégie </w:t>
      </w:r>
      <w:proofErr w:type="spellStart"/>
      <w:r w:rsidRPr="007D6499">
        <w:rPr>
          <w:b/>
          <w:lang w:val="fr-FR"/>
        </w:rPr>
        <w:t>Mubadarat</w:t>
      </w:r>
      <w:proofErr w:type="spellEnd"/>
      <w:r w:rsidRPr="007D6499">
        <w:rPr>
          <w:b/>
          <w:lang w:val="fr-FR"/>
        </w:rPr>
        <w:t xml:space="preserve"> en tant cadre global d'engagement avec la société civile de l'UICN-Med :</w:t>
      </w:r>
    </w:p>
    <w:p w14:paraId="00000018" w14:textId="469D9038" w:rsidR="005323CE" w:rsidRPr="007D6499" w:rsidRDefault="000403DB" w:rsidP="004569D6">
      <w:pPr>
        <w:spacing w:before="240" w:after="240"/>
        <w:ind w:left="-283"/>
        <w:rPr>
          <w:lang w:val="fr-FR"/>
        </w:rPr>
      </w:pPr>
      <w:r w:rsidRPr="007D6499">
        <w:rPr>
          <w:lang w:val="fr-FR"/>
        </w:rPr>
        <w:lastRenderedPageBreak/>
        <w:t xml:space="preserve">Les fondements de la stratégie reposent sur l’engagement des organisations de la société civile pour la conservation de la biodiversité, la résilience communautaire et le développement socio-économique en Méditerranée. </w:t>
      </w:r>
      <w:r w:rsidR="004569D6">
        <w:rPr>
          <w:lang w:val="fr-FR"/>
        </w:rPr>
        <w:t>La</w:t>
      </w:r>
      <w:r w:rsidRPr="007D6499">
        <w:rPr>
          <w:lang w:val="fr-FR"/>
        </w:rPr>
        <w:t xml:space="preserve"> stratégie</w:t>
      </w:r>
      <w:r w:rsidR="004569D6">
        <w:rPr>
          <w:lang w:val="fr-FR"/>
        </w:rPr>
        <w:t xml:space="preserve"> devra s’aligner avec les </w:t>
      </w:r>
      <w:hyperlink r:id="rId8" w:history="1">
        <w:r w:rsidR="004569D6" w:rsidRPr="002B34CB">
          <w:rPr>
            <w:rStyle w:val="Hyperlink"/>
            <w:lang w:val="fr-FR"/>
          </w:rPr>
          <w:t>priorités stratégiques de l’IUCN-Med</w:t>
        </w:r>
      </w:hyperlink>
      <w:r w:rsidR="004569D6">
        <w:rPr>
          <w:lang w:val="fr-FR"/>
        </w:rPr>
        <w:t xml:space="preserve"> et orienter les actions futures en lien avec l’appui aux projets associatif</w:t>
      </w:r>
      <w:r w:rsidRPr="007D6499">
        <w:rPr>
          <w:lang w:val="fr-FR"/>
        </w:rPr>
        <w:t xml:space="preserve">, le renforcement des capacités, le développement de partenariats, </w:t>
      </w:r>
      <w:r w:rsidR="004569D6">
        <w:rPr>
          <w:lang w:val="fr-FR"/>
        </w:rPr>
        <w:t xml:space="preserve">et </w:t>
      </w:r>
      <w:r w:rsidRPr="007D6499">
        <w:rPr>
          <w:lang w:val="fr-FR"/>
        </w:rPr>
        <w:t>la communication efficace</w:t>
      </w:r>
      <w:r w:rsidR="004569D6">
        <w:rPr>
          <w:lang w:val="fr-FR"/>
        </w:rPr>
        <w:t>.</w:t>
      </w:r>
    </w:p>
    <w:p w14:paraId="00000019" w14:textId="77777777" w:rsidR="005323CE" w:rsidRPr="007D6499" w:rsidRDefault="000403DB">
      <w:pPr>
        <w:numPr>
          <w:ilvl w:val="0"/>
          <w:numId w:val="4"/>
        </w:numPr>
        <w:rPr>
          <w:lang w:val="fr-FR"/>
        </w:rPr>
      </w:pPr>
      <w:r w:rsidRPr="007D6499">
        <w:rPr>
          <w:lang w:val="fr-FR"/>
        </w:rPr>
        <w:t>Fournir une analyse approfondie du contexte socio-économique, environnemental et politique de la région Méditerranéenne avec un accent sur l'Afrique du Nord, mettant en lumière les défis et les opportunités pour l'engagement de l'UICN-Med avec la société civile.</w:t>
      </w:r>
    </w:p>
    <w:p w14:paraId="0000001A" w14:textId="77777777" w:rsidR="005323CE" w:rsidRPr="007D6499" w:rsidRDefault="000403DB">
      <w:pPr>
        <w:numPr>
          <w:ilvl w:val="0"/>
          <w:numId w:val="4"/>
        </w:numPr>
        <w:rPr>
          <w:lang w:val="fr-FR"/>
        </w:rPr>
      </w:pPr>
      <w:r w:rsidRPr="007D6499">
        <w:rPr>
          <w:lang w:val="fr-FR"/>
        </w:rPr>
        <w:t xml:space="preserve">Identifier et évaluer les besoins des principales parties prenantes impliquées dans le travail de l'UICN-Med avec la société civile, y compris les OSC PPI OSCAN et </w:t>
      </w:r>
      <w:proofErr w:type="spellStart"/>
      <w:r w:rsidRPr="007D6499">
        <w:rPr>
          <w:lang w:val="fr-FR"/>
        </w:rPr>
        <w:t>TransCap</w:t>
      </w:r>
      <w:proofErr w:type="spellEnd"/>
      <w:r w:rsidRPr="007D6499">
        <w:rPr>
          <w:lang w:val="fr-FR"/>
        </w:rPr>
        <w:t>, les membres, les institutions gouvernementales, les bailleurs de fonds, et l’équipe de l’UICN-Med</w:t>
      </w:r>
    </w:p>
    <w:p w14:paraId="0000001B" w14:textId="3B24B214" w:rsidR="005323CE" w:rsidRPr="007D6499" w:rsidRDefault="000403DB">
      <w:pPr>
        <w:numPr>
          <w:ilvl w:val="0"/>
          <w:numId w:val="4"/>
        </w:numPr>
        <w:rPr>
          <w:lang w:val="fr-FR"/>
        </w:rPr>
      </w:pPr>
      <w:r w:rsidRPr="007D6499">
        <w:rPr>
          <w:lang w:val="fr-FR"/>
        </w:rPr>
        <w:t xml:space="preserve">Passer en revue les programmes actuels de l'UICN-Med impliquant la société civile, </w:t>
      </w:r>
      <w:r w:rsidR="002B34CB">
        <w:rPr>
          <w:lang w:val="fr-FR"/>
        </w:rPr>
        <w:t>et les opportunités d’amélioration</w:t>
      </w:r>
    </w:p>
    <w:p w14:paraId="0000001C" w14:textId="679857AC" w:rsidR="005323CE" w:rsidRPr="007D6499" w:rsidRDefault="000403DB">
      <w:pPr>
        <w:numPr>
          <w:ilvl w:val="0"/>
          <w:numId w:val="4"/>
        </w:numPr>
        <w:rPr>
          <w:lang w:val="fr-FR"/>
        </w:rPr>
      </w:pPr>
      <w:r w:rsidRPr="007D6499">
        <w:rPr>
          <w:lang w:val="fr-FR"/>
        </w:rPr>
        <w:t xml:space="preserve">Analyser les priorités stratégiques de l'IUCN-Med au niveau régional, ainsi que des mécanismes pour intégrer ces priorités </w:t>
      </w:r>
      <w:r w:rsidR="002B34CB">
        <w:rPr>
          <w:lang w:val="fr-FR"/>
        </w:rPr>
        <w:t>dans les projets des OSC</w:t>
      </w:r>
    </w:p>
    <w:p w14:paraId="0000001D" w14:textId="5A685193" w:rsidR="005323CE" w:rsidRPr="007D6499" w:rsidRDefault="000403DB">
      <w:pPr>
        <w:numPr>
          <w:ilvl w:val="0"/>
          <w:numId w:val="4"/>
        </w:numPr>
        <w:rPr>
          <w:lang w:val="fr-FR"/>
        </w:rPr>
      </w:pPr>
      <w:r w:rsidRPr="007D6499">
        <w:rPr>
          <w:lang w:val="fr-FR"/>
        </w:rPr>
        <w:t>Proposer des axes stratégiques, en se basant sur les besoins des parties prenantes, les objectifs de l'UICN-Med et les enseignements tirés des programmes existants.</w:t>
      </w:r>
    </w:p>
    <w:p w14:paraId="0000001E" w14:textId="77777777" w:rsidR="005323CE" w:rsidRPr="007D6499" w:rsidRDefault="000403DB">
      <w:pPr>
        <w:numPr>
          <w:ilvl w:val="0"/>
          <w:numId w:val="4"/>
        </w:numPr>
        <w:rPr>
          <w:lang w:val="fr-FR"/>
        </w:rPr>
      </w:pPr>
      <w:r w:rsidRPr="007D6499">
        <w:rPr>
          <w:lang w:val="fr-FR"/>
        </w:rPr>
        <w:t>Articuler clairement les objectifs, les cibles et les indicateurs de succès pour chaque axe stratégique, en veillant à ce qu'ils soient mesurables, réalisables et pertinents</w:t>
      </w:r>
    </w:p>
    <w:p w14:paraId="0000001F" w14:textId="25814898" w:rsidR="005323CE" w:rsidRPr="007D6499" w:rsidRDefault="000403DB">
      <w:pPr>
        <w:numPr>
          <w:ilvl w:val="0"/>
          <w:numId w:val="4"/>
        </w:numPr>
        <w:spacing w:after="240"/>
        <w:rPr>
          <w:lang w:val="fr-FR"/>
        </w:rPr>
      </w:pPr>
      <w:r w:rsidRPr="007D6499">
        <w:rPr>
          <w:lang w:val="fr-FR"/>
        </w:rPr>
        <w:t>Élaborer un plan d'action sur 5ans pour la mise en œuvre de la stratégie, en identifiant les activités prioritaires, les responsables, les échéances et les ressources nécessaires.</w:t>
      </w:r>
    </w:p>
    <w:p w14:paraId="00000020" w14:textId="77777777" w:rsidR="005323CE" w:rsidRPr="007D6499" w:rsidRDefault="000403DB">
      <w:pPr>
        <w:pStyle w:val="Title"/>
        <w:pBdr>
          <w:top w:val="nil"/>
          <w:left w:val="nil"/>
          <w:bottom w:val="nil"/>
          <w:right w:val="nil"/>
          <w:between w:val="nil"/>
        </w:pBdr>
        <w:spacing w:before="240" w:after="240"/>
        <w:rPr>
          <w:b/>
          <w:sz w:val="32"/>
          <w:szCs w:val="32"/>
          <w:lang w:val="fr-FR"/>
        </w:rPr>
      </w:pPr>
      <w:bookmarkStart w:id="6" w:name="_rx1f8qv4yemh" w:colFirst="0" w:colLast="0"/>
      <w:bookmarkEnd w:id="6"/>
      <w:r w:rsidRPr="007D6499">
        <w:rPr>
          <w:b/>
          <w:sz w:val="32"/>
          <w:szCs w:val="32"/>
          <w:lang w:val="fr-FR"/>
        </w:rPr>
        <w:t>4. Méthodologie :</w:t>
      </w:r>
    </w:p>
    <w:p w14:paraId="00000021" w14:textId="77777777" w:rsidR="005323CE" w:rsidRPr="007D6499" w:rsidRDefault="000403DB">
      <w:pPr>
        <w:spacing w:before="240" w:after="240"/>
        <w:rPr>
          <w:lang w:val="fr-FR"/>
        </w:rPr>
      </w:pPr>
      <w:r w:rsidRPr="007D6499">
        <w:rPr>
          <w:lang w:val="fr-FR"/>
        </w:rPr>
        <w:t>De nombreuses données et informations sur les projets et les programmes, ainsi que des rapports de suivi, doivent être analysés et seront partagés par l'équipe de l'UICN-Med. L'équipe de l'UICN-Med facilitera le contact avec ses partenaires et bénéficiaires. Les coordinateurs nationaux au Maroc, en Libye et en Tunisie soutiendront l'identification des études de cas et éventuellement les visites sur le terrain.</w:t>
      </w:r>
    </w:p>
    <w:p w14:paraId="00000022" w14:textId="77777777" w:rsidR="005323CE" w:rsidRPr="00E84CD0" w:rsidRDefault="000403DB">
      <w:pPr>
        <w:spacing w:before="240" w:after="240"/>
        <w:rPr>
          <w:b/>
          <w:bCs/>
        </w:rPr>
      </w:pPr>
      <w:r w:rsidRPr="00E84CD0">
        <w:rPr>
          <w:b/>
          <w:bCs/>
        </w:rPr>
        <w:t xml:space="preserve">Les </w:t>
      </w:r>
      <w:proofErr w:type="spellStart"/>
      <w:r w:rsidRPr="00E84CD0">
        <w:rPr>
          <w:b/>
          <w:bCs/>
        </w:rPr>
        <w:t>tâches</w:t>
      </w:r>
      <w:proofErr w:type="spellEnd"/>
      <w:r w:rsidRPr="00E84CD0">
        <w:rPr>
          <w:b/>
          <w:bCs/>
        </w:rPr>
        <w:t xml:space="preserve"> </w:t>
      </w:r>
      <w:proofErr w:type="spellStart"/>
      <w:proofErr w:type="gramStart"/>
      <w:r w:rsidRPr="00E84CD0">
        <w:rPr>
          <w:b/>
          <w:bCs/>
        </w:rPr>
        <w:t>comprennent</w:t>
      </w:r>
      <w:proofErr w:type="spellEnd"/>
      <w:r w:rsidRPr="00E84CD0">
        <w:rPr>
          <w:b/>
          <w:bCs/>
        </w:rPr>
        <w:t xml:space="preserve"> :</w:t>
      </w:r>
      <w:proofErr w:type="gramEnd"/>
    </w:p>
    <w:p w14:paraId="2B3667A5" w14:textId="239B4AC7" w:rsidR="00A062A4" w:rsidRPr="00E84CD0" w:rsidRDefault="00A062A4" w:rsidP="00A062A4">
      <w:pPr>
        <w:pStyle w:val="ListParagraph"/>
        <w:numPr>
          <w:ilvl w:val="3"/>
          <w:numId w:val="1"/>
        </w:numPr>
        <w:spacing w:before="240" w:after="240"/>
        <w:ind w:left="426"/>
        <w:rPr>
          <w:u w:val="single"/>
          <w:lang w:val="fr-FR"/>
        </w:rPr>
      </w:pPr>
      <w:r w:rsidRPr="00E84CD0">
        <w:rPr>
          <w:u w:val="single"/>
          <w:lang w:val="fr-FR"/>
        </w:rPr>
        <w:t>Phase préparatoire et de cadrage :</w:t>
      </w:r>
    </w:p>
    <w:p w14:paraId="2D44F432" w14:textId="5080883E" w:rsidR="00A062A4" w:rsidRDefault="00A062A4" w:rsidP="00A062A4">
      <w:pPr>
        <w:rPr>
          <w:lang w:val="fr-FR"/>
        </w:rPr>
      </w:pPr>
      <w:r>
        <w:rPr>
          <w:lang w:val="fr-FR"/>
        </w:rPr>
        <w:t>Un entretien sera organisé avec l’équipe de l’UICN-Med</w:t>
      </w:r>
      <w:r w:rsidRPr="00A062A4">
        <w:rPr>
          <w:lang w:val="fr-FR"/>
        </w:rPr>
        <w:t xml:space="preserve"> </w:t>
      </w:r>
      <w:r>
        <w:rPr>
          <w:lang w:val="fr-FR"/>
        </w:rPr>
        <w:t>pour assurer la compréhension commune des objectifs</w:t>
      </w:r>
      <w:r w:rsidR="008E4595">
        <w:rPr>
          <w:lang w:val="fr-FR"/>
        </w:rPr>
        <w:t xml:space="preserve"> et attentes</w:t>
      </w:r>
      <w:r>
        <w:rPr>
          <w:lang w:val="fr-FR"/>
        </w:rPr>
        <w:t>,</w:t>
      </w:r>
      <w:r w:rsidR="008E4595">
        <w:rPr>
          <w:lang w:val="fr-FR"/>
        </w:rPr>
        <w:t xml:space="preserve"> les parties prenantes et la portée de la mission. Un plan de travail devra être défini au terme de cette réunion.</w:t>
      </w:r>
    </w:p>
    <w:p w14:paraId="70EBDC08" w14:textId="77777777" w:rsidR="00A062A4" w:rsidRDefault="00A062A4" w:rsidP="00A062A4">
      <w:pPr>
        <w:rPr>
          <w:lang w:val="fr-FR"/>
        </w:rPr>
      </w:pPr>
    </w:p>
    <w:p w14:paraId="49A226B1" w14:textId="666FBE8D" w:rsidR="00A062A4" w:rsidRPr="007D6499" w:rsidRDefault="008E4595" w:rsidP="00A062A4">
      <w:pPr>
        <w:rPr>
          <w:lang w:val="fr-FR"/>
        </w:rPr>
      </w:pPr>
      <w:r>
        <w:rPr>
          <w:lang w:val="fr-FR"/>
        </w:rPr>
        <w:t xml:space="preserve">Cet entretien servira également à la préparation d’une séance dédiée à la capitalisation du PPI OSCAN lors de </w:t>
      </w:r>
      <w:r w:rsidR="00A062A4" w:rsidRPr="007D6499">
        <w:rPr>
          <w:lang w:val="fr-FR"/>
        </w:rPr>
        <w:t xml:space="preserve">l'atelier régional à Agadir du 16 au 18 mai, qui réunira les bénéficiaires du PPI OSCAN 3, les partenaires financiers et institutionnels, et les parties prenantes pour célébrer le 10e anniversaire. Le consultant est chargé de préparer des sessions thématiques (groupes de travail) </w:t>
      </w:r>
      <w:r>
        <w:rPr>
          <w:lang w:val="fr-FR"/>
        </w:rPr>
        <w:t xml:space="preserve">pour la journée consacrée </w:t>
      </w:r>
      <w:r w:rsidR="00A062A4" w:rsidRPr="007D6499">
        <w:rPr>
          <w:lang w:val="fr-FR"/>
        </w:rPr>
        <w:t>à la capitalisation du programme.</w:t>
      </w:r>
    </w:p>
    <w:p w14:paraId="3C12A8E6" w14:textId="77777777" w:rsidR="00B30FD4" w:rsidRPr="00E84CD0" w:rsidRDefault="006A16B4" w:rsidP="006A16B4">
      <w:pPr>
        <w:pStyle w:val="ListParagraph"/>
        <w:numPr>
          <w:ilvl w:val="3"/>
          <w:numId w:val="1"/>
        </w:numPr>
        <w:spacing w:before="240" w:after="240"/>
        <w:ind w:left="284"/>
        <w:rPr>
          <w:u w:val="single"/>
          <w:lang w:val="fr-FR"/>
        </w:rPr>
      </w:pPr>
      <w:r w:rsidRPr="00E84CD0">
        <w:rPr>
          <w:u w:val="single"/>
          <w:lang w:val="fr-FR"/>
        </w:rPr>
        <w:lastRenderedPageBreak/>
        <w:t>Phase de collecte de données</w:t>
      </w:r>
    </w:p>
    <w:p w14:paraId="28E1EB56" w14:textId="6F26DDC9" w:rsidR="006A16B4" w:rsidRDefault="00B30FD4" w:rsidP="00B30FD4">
      <w:pPr>
        <w:spacing w:before="240" w:after="240"/>
        <w:ind w:left="-76"/>
        <w:rPr>
          <w:lang w:val="fr-FR"/>
        </w:rPr>
      </w:pPr>
      <w:r w:rsidRPr="00B30FD4">
        <w:rPr>
          <w:lang w:val="fr-FR"/>
        </w:rPr>
        <w:t>L</w:t>
      </w:r>
      <w:r w:rsidR="006A16B4" w:rsidRPr="00B30FD4">
        <w:rPr>
          <w:lang w:val="fr-FR"/>
        </w:rPr>
        <w:t>’analyse quantitative</w:t>
      </w:r>
      <w:r w:rsidRPr="00B30FD4">
        <w:rPr>
          <w:lang w:val="fr-FR"/>
        </w:rPr>
        <w:t xml:space="preserve"> repose sur les données chiffrées de réalisation des projets. L</w:t>
      </w:r>
      <w:r w:rsidR="006A16B4" w:rsidRPr="00B30FD4">
        <w:rPr>
          <w:lang w:val="fr-FR"/>
        </w:rPr>
        <w:t xml:space="preserve">e consultant devra </w:t>
      </w:r>
      <w:r w:rsidRPr="00B30FD4">
        <w:rPr>
          <w:lang w:val="fr-FR"/>
        </w:rPr>
        <w:t>établir des indicateurs de performance et c</w:t>
      </w:r>
      <w:r w:rsidR="006A16B4" w:rsidRPr="00B30FD4">
        <w:rPr>
          <w:lang w:val="fr-FR"/>
        </w:rPr>
        <w:t>entraliser toute l’information existante dans les rapports finaux de projet et données de suivi.</w:t>
      </w:r>
    </w:p>
    <w:p w14:paraId="00000025" w14:textId="3DFF136B" w:rsidR="005323CE" w:rsidRDefault="006A16B4" w:rsidP="006A16B4">
      <w:pPr>
        <w:rPr>
          <w:lang w:val="fr-FR"/>
        </w:rPr>
      </w:pPr>
      <w:r>
        <w:rPr>
          <w:lang w:val="fr-FR"/>
        </w:rPr>
        <w:t>L’</w:t>
      </w:r>
      <w:r w:rsidRPr="00A062A4">
        <w:rPr>
          <w:lang w:val="fr-FR"/>
        </w:rPr>
        <w:t xml:space="preserve">analyse qualitative </w:t>
      </w:r>
      <w:r>
        <w:rPr>
          <w:lang w:val="fr-FR"/>
        </w:rPr>
        <w:t xml:space="preserve">reposera sur la consultation des parties prenantes à travers </w:t>
      </w:r>
      <w:r w:rsidRPr="00A062A4">
        <w:rPr>
          <w:lang w:val="fr-FR"/>
        </w:rPr>
        <w:t>des entretiens</w:t>
      </w:r>
      <w:r>
        <w:rPr>
          <w:lang w:val="fr-FR"/>
        </w:rPr>
        <w:t xml:space="preserve"> sur </w:t>
      </w:r>
      <w:r w:rsidRPr="00A062A4">
        <w:rPr>
          <w:lang w:val="fr-FR"/>
        </w:rPr>
        <w:t>les thèmes communs, les tendances émergentes et les facteurs de succès clés.</w:t>
      </w:r>
      <w:r>
        <w:rPr>
          <w:lang w:val="fr-FR"/>
        </w:rPr>
        <w:t xml:space="preserve"> </w:t>
      </w:r>
      <w:r w:rsidR="0027185B">
        <w:rPr>
          <w:lang w:val="fr-FR"/>
        </w:rPr>
        <w:t>Elle inclut également le d</w:t>
      </w:r>
      <w:r w:rsidR="000403DB" w:rsidRPr="007D6499">
        <w:rPr>
          <w:lang w:val="fr-FR"/>
        </w:rPr>
        <w:t xml:space="preserve">éveloppement d'études de cas mettant en évidence des projets réussis, des approches innovantes et des leçons </w:t>
      </w:r>
      <w:r w:rsidR="00920C2E">
        <w:rPr>
          <w:lang w:val="fr-FR"/>
        </w:rPr>
        <w:t>apprises</w:t>
      </w:r>
      <w:r w:rsidR="000403DB" w:rsidRPr="007D6499">
        <w:rPr>
          <w:lang w:val="fr-FR"/>
        </w:rPr>
        <w:t xml:space="preserve"> </w:t>
      </w:r>
    </w:p>
    <w:p w14:paraId="68F522FF" w14:textId="77777777" w:rsidR="0027185B" w:rsidRDefault="0027185B" w:rsidP="006A16B4">
      <w:pPr>
        <w:rPr>
          <w:lang w:val="fr-FR"/>
        </w:rPr>
      </w:pPr>
    </w:p>
    <w:p w14:paraId="5278122A" w14:textId="4E36E10A" w:rsidR="0027185B" w:rsidRPr="00E84CD0" w:rsidRDefault="00B30FD4" w:rsidP="00244E2F">
      <w:pPr>
        <w:pStyle w:val="ListParagraph"/>
        <w:numPr>
          <w:ilvl w:val="3"/>
          <w:numId w:val="1"/>
        </w:numPr>
        <w:ind w:left="142"/>
        <w:rPr>
          <w:u w:val="single"/>
          <w:lang w:val="fr-FR"/>
        </w:rPr>
      </w:pPr>
      <w:r w:rsidRPr="00E84CD0">
        <w:rPr>
          <w:u w:val="single"/>
          <w:lang w:val="fr-FR"/>
        </w:rPr>
        <w:t>Phase de consolidation des résultats</w:t>
      </w:r>
    </w:p>
    <w:p w14:paraId="56FB0C63" w14:textId="77777777" w:rsidR="00244E2F" w:rsidRDefault="00244E2F" w:rsidP="006A16B4">
      <w:pPr>
        <w:rPr>
          <w:lang w:val="fr-FR"/>
        </w:rPr>
      </w:pPr>
    </w:p>
    <w:p w14:paraId="02A8D19F" w14:textId="3ACFC4DB" w:rsidR="00244E2F" w:rsidRDefault="00244E2F" w:rsidP="006A16B4">
      <w:pPr>
        <w:rPr>
          <w:lang w:val="fr-FR"/>
        </w:rPr>
      </w:pPr>
      <w:r>
        <w:rPr>
          <w:lang w:val="fr-FR"/>
        </w:rPr>
        <w:t>Tirer</w:t>
      </w:r>
      <w:r w:rsidRPr="00244E2F">
        <w:rPr>
          <w:lang w:val="fr-FR"/>
        </w:rPr>
        <w:t xml:space="preserve"> parti des données et des informations collectées, afin de documenter les réalisations, d'identifier les bonnes pratiques et les leçons apprises, et de fournir des recommandations pour l'avenir.</w:t>
      </w:r>
    </w:p>
    <w:p w14:paraId="0CD655A8" w14:textId="77777777" w:rsidR="00244E2F" w:rsidRDefault="00244E2F" w:rsidP="006A16B4">
      <w:pPr>
        <w:rPr>
          <w:lang w:val="fr-FR"/>
        </w:rPr>
      </w:pPr>
    </w:p>
    <w:p w14:paraId="52605314" w14:textId="40D275CB" w:rsidR="00244E2F" w:rsidRDefault="00244E2F" w:rsidP="006A16B4">
      <w:pPr>
        <w:rPr>
          <w:lang w:val="fr-FR"/>
        </w:rPr>
      </w:pPr>
      <w:r>
        <w:rPr>
          <w:lang w:val="fr-FR"/>
        </w:rPr>
        <w:t>Cette phase inclus l’organisation d’</w:t>
      </w:r>
      <w:r w:rsidRPr="007D6499">
        <w:rPr>
          <w:lang w:val="fr-FR"/>
        </w:rPr>
        <w:t>un atelier de travail de réflexion avec l’équipe de l’UICN-Med, tirant parti des différentes expertises en matière de conservation de la nature, pour</w:t>
      </w:r>
      <w:r>
        <w:rPr>
          <w:lang w:val="fr-FR"/>
        </w:rPr>
        <w:t xml:space="preserve"> </w:t>
      </w:r>
      <w:r w:rsidRPr="007D6499">
        <w:rPr>
          <w:lang w:val="fr-FR"/>
        </w:rPr>
        <w:t xml:space="preserve">aligner </w:t>
      </w:r>
      <w:r>
        <w:rPr>
          <w:lang w:val="fr-FR"/>
        </w:rPr>
        <w:t>la nouvelle stratégie d’appui à la société civile avec</w:t>
      </w:r>
      <w:r w:rsidRPr="007D6499">
        <w:rPr>
          <w:lang w:val="fr-FR"/>
        </w:rPr>
        <w:t xml:space="preserve"> les 5 lignes stratégiques du bureau et son programme global en Méditerranée</w:t>
      </w:r>
    </w:p>
    <w:p w14:paraId="74FCE445" w14:textId="77777777" w:rsidR="00244E2F" w:rsidRDefault="00244E2F" w:rsidP="006A16B4">
      <w:pPr>
        <w:rPr>
          <w:lang w:val="fr-FR"/>
        </w:rPr>
      </w:pPr>
    </w:p>
    <w:p w14:paraId="025F1BA2" w14:textId="0F7B9601" w:rsidR="00244E2F" w:rsidRPr="00B90278" w:rsidRDefault="00244E2F" w:rsidP="00244E2F">
      <w:pPr>
        <w:pStyle w:val="ListParagraph"/>
        <w:numPr>
          <w:ilvl w:val="3"/>
          <w:numId w:val="1"/>
        </w:numPr>
        <w:ind w:left="142"/>
        <w:rPr>
          <w:i/>
          <w:iCs/>
          <w:lang w:val="fr-FR"/>
        </w:rPr>
      </w:pPr>
      <w:r w:rsidRPr="00B90278">
        <w:rPr>
          <w:i/>
          <w:iCs/>
          <w:lang w:val="fr-FR"/>
        </w:rPr>
        <w:t>Présentation des résultats</w:t>
      </w:r>
    </w:p>
    <w:p w14:paraId="3F8B8918" w14:textId="77777777" w:rsidR="00B84F64" w:rsidRDefault="00B84F64" w:rsidP="00B84F64">
      <w:pPr>
        <w:rPr>
          <w:lang w:val="fr-FR"/>
        </w:rPr>
      </w:pPr>
    </w:p>
    <w:p w14:paraId="012E3574" w14:textId="0F699A55" w:rsidR="00B84F64" w:rsidRDefault="00B84F64" w:rsidP="00B84F64">
      <w:pPr>
        <w:rPr>
          <w:lang w:val="fr-FR"/>
        </w:rPr>
      </w:pPr>
      <w:r>
        <w:rPr>
          <w:lang w:val="fr-FR"/>
        </w:rPr>
        <w:t xml:space="preserve">Remise des livrables mentionnés ci-dessous. Cette phrase devra se faire en collaboration avec l’agence de communication qui sera chargée de </w:t>
      </w:r>
      <w:r w:rsidR="00E84CD0">
        <w:rPr>
          <w:lang w:val="fr-FR"/>
        </w:rPr>
        <w:t>créer une brochure de capitalisation du PPI OSCAN et une brochure de présentation de la stratégie.</w:t>
      </w:r>
    </w:p>
    <w:p w14:paraId="0000002C" w14:textId="77777777" w:rsidR="005323CE" w:rsidRPr="007D6499" w:rsidRDefault="000403DB">
      <w:pPr>
        <w:spacing w:before="240" w:after="240"/>
        <w:rPr>
          <w:lang w:val="fr-FR"/>
        </w:rPr>
      </w:pPr>
      <w:r w:rsidRPr="007D6499">
        <w:rPr>
          <w:b/>
          <w:sz w:val="32"/>
          <w:szCs w:val="32"/>
          <w:lang w:val="fr-FR"/>
        </w:rPr>
        <w:t>5. Livrables :</w:t>
      </w:r>
    </w:p>
    <w:p w14:paraId="0000002D" w14:textId="77777777" w:rsidR="005323CE" w:rsidRPr="007D6499" w:rsidRDefault="000403DB">
      <w:pPr>
        <w:spacing w:before="240" w:after="240"/>
        <w:ind w:left="360"/>
        <w:rPr>
          <w:b/>
          <w:lang w:val="fr-FR"/>
        </w:rPr>
      </w:pPr>
      <w:r w:rsidRPr="007D6499">
        <w:rPr>
          <w:b/>
          <w:lang w:val="fr-FR"/>
        </w:rPr>
        <w:t>A.</w:t>
      </w:r>
      <w:r w:rsidRPr="007D6499">
        <w:rPr>
          <w:rFonts w:ascii="Times New Roman" w:eastAsia="Times New Roman" w:hAnsi="Times New Roman" w:cs="Times New Roman"/>
          <w:b/>
          <w:sz w:val="14"/>
          <w:szCs w:val="14"/>
          <w:lang w:val="fr-FR"/>
        </w:rPr>
        <w:t xml:space="preserve">     </w:t>
      </w:r>
      <w:r w:rsidRPr="007D6499">
        <w:rPr>
          <w:b/>
          <w:lang w:val="fr-FR"/>
        </w:rPr>
        <w:t>Pour la capitalisation du PPI OSCAN :</w:t>
      </w:r>
    </w:p>
    <w:p w14:paraId="0000002E" w14:textId="0D09C837" w:rsidR="005323CE" w:rsidRPr="007D6499" w:rsidRDefault="000403DB">
      <w:pPr>
        <w:spacing w:before="240" w:after="240"/>
        <w:ind w:left="360"/>
        <w:rPr>
          <w:color w:val="0D0D0D"/>
          <w:highlight w:val="white"/>
          <w:lang w:val="fr-FR"/>
        </w:rPr>
      </w:pPr>
      <w:r w:rsidRPr="007D6499">
        <w:rPr>
          <w:lang w:val="fr-FR"/>
        </w:rPr>
        <w:t xml:space="preserve">i.  </w:t>
      </w:r>
      <w:r w:rsidRPr="007D6499">
        <w:rPr>
          <w:color w:val="0D0D0D"/>
          <w:highlight w:val="white"/>
          <w:lang w:val="fr-FR"/>
        </w:rPr>
        <w:t xml:space="preserve">Un rapport complet de capitalisation en français sur le PPI OSCAN, comprenant une analyse détaillée, </w:t>
      </w:r>
      <w:r w:rsidRPr="007D6499">
        <w:rPr>
          <w:lang w:val="fr-FR"/>
        </w:rPr>
        <w:t>les consultations menées et commentaires reçus,</w:t>
      </w:r>
      <w:r w:rsidRPr="007D6499">
        <w:rPr>
          <w:color w:val="0D0D0D"/>
          <w:highlight w:val="white"/>
          <w:lang w:val="fr-FR"/>
        </w:rPr>
        <w:t xml:space="preserve"> des études de cas et des recommandations opérationnelles pour l'amélioration du programme </w:t>
      </w:r>
    </w:p>
    <w:p w14:paraId="0000002F" w14:textId="77777777" w:rsidR="005323CE" w:rsidRPr="007D6499" w:rsidRDefault="000403DB">
      <w:pPr>
        <w:spacing w:before="240" w:after="240"/>
        <w:ind w:firstLine="360"/>
        <w:rPr>
          <w:lang w:val="fr-FR"/>
        </w:rPr>
      </w:pPr>
      <w:r w:rsidRPr="007D6499">
        <w:rPr>
          <w:color w:val="0D0D0D"/>
          <w:highlight w:val="white"/>
          <w:lang w:val="fr-FR"/>
        </w:rPr>
        <w:t xml:space="preserve">ii. </w:t>
      </w:r>
      <w:r w:rsidRPr="007D6499">
        <w:rPr>
          <w:lang w:val="fr-FR"/>
        </w:rPr>
        <w:t xml:space="preserve">Séance de présentation : </w:t>
      </w:r>
      <w:r w:rsidRPr="007D6499">
        <w:rPr>
          <w:color w:val="0D0D0D"/>
          <w:highlight w:val="white"/>
          <w:lang w:val="fr-FR"/>
        </w:rPr>
        <w:t xml:space="preserve">Une présentation finale synthétique en français et anglais, mettant en évidence les principaux résultats, les leçons apprises et les recommandations </w:t>
      </w:r>
      <w:r w:rsidRPr="007D6499">
        <w:rPr>
          <w:lang w:val="fr-FR"/>
        </w:rPr>
        <w:t>opérationnelles</w:t>
      </w:r>
    </w:p>
    <w:p w14:paraId="00000030" w14:textId="77777777" w:rsidR="005323CE" w:rsidRPr="007D6499" w:rsidRDefault="000403DB">
      <w:pPr>
        <w:spacing w:before="240" w:after="240"/>
        <w:ind w:left="360"/>
        <w:rPr>
          <w:lang w:val="fr-FR"/>
        </w:rPr>
      </w:pPr>
      <w:r w:rsidRPr="007D6499">
        <w:rPr>
          <w:b/>
          <w:lang w:val="fr-FR"/>
        </w:rPr>
        <w:t>B.</w:t>
      </w:r>
      <w:r w:rsidRPr="007D6499">
        <w:rPr>
          <w:rFonts w:ascii="Times New Roman" w:eastAsia="Times New Roman" w:hAnsi="Times New Roman" w:cs="Times New Roman"/>
          <w:b/>
          <w:sz w:val="14"/>
          <w:szCs w:val="14"/>
          <w:lang w:val="fr-FR"/>
        </w:rPr>
        <w:t xml:space="preserve">     </w:t>
      </w:r>
      <w:r w:rsidRPr="007D6499">
        <w:rPr>
          <w:b/>
          <w:lang w:val="fr-FR"/>
        </w:rPr>
        <w:t xml:space="preserve">Pour la stratégie </w:t>
      </w:r>
      <w:proofErr w:type="spellStart"/>
      <w:r w:rsidRPr="007D6499">
        <w:rPr>
          <w:b/>
          <w:lang w:val="fr-FR"/>
        </w:rPr>
        <w:t>Mubadarat</w:t>
      </w:r>
      <w:proofErr w:type="spellEnd"/>
      <w:r w:rsidRPr="007D6499">
        <w:rPr>
          <w:b/>
          <w:lang w:val="fr-FR"/>
        </w:rPr>
        <w:t xml:space="preserve"> :</w:t>
      </w:r>
    </w:p>
    <w:p w14:paraId="00000031" w14:textId="238EB67E" w:rsidR="005323CE" w:rsidRPr="007D6499" w:rsidRDefault="000403DB">
      <w:pPr>
        <w:pBdr>
          <w:top w:val="nil"/>
          <w:left w:val="nil"/>
          <w:bottom w:val="nil"/>
          <w:right w:val="nil"/>
          <w:between w:val="nil"/>
        </w:pBdr>
        <w:spacing w:before="240" w:after="240"/>
        <w:ind w:left="360"/>
        <w:rPr>
          <w:lang w:val="fr-FR"/>
        </w:rPr>
      </w:pPr>
      <w:r w:rsidRPr="007D6499">
        <w:rPr>
          <w:lang w:val="fr-FR"/>
        </w:rPr>
        <w:t>i. Stratégie finalisée : Un document détaillant la stratégie de l'UICN-Med, comprenant ses objectifs généraux, ses objectifs spécifiques, ses approches stratégiques, ses activités prévues et ses indicateurs de performance. Ce document devrait également inclure une synthèse du processus d'élaboration de la stratégie</w:t>
      </w:r>
      <w:r w:rsidR="00B84F64">
        <w:rPr>
          <w:lang w:val="fr-FR"/>
        </w:rPr>
        <w:t xml:space="preserve"> et </w:t>
      </w:r>
      <w:r w:rsidRPr="007D6499">
        <w:rPr>
          <w:lang w:val="fr-FR"/>
        </w:rPr>
        <w:t xml:space="preserve">des commentaires reçus </w:t>
      </w:r>
    </w:p>
    <w:p w14:paraId="00000032" w14:textId="65C2706B" w:rsidR="005323CE" w:rsidRPr="007D6499" w:rsidRDefault="000403DB">
      <w:pPr>
        <w:pBdr>
          <w:top w:val="nil"/>
          <w:left w:val="nil"/>
          <w:bottom w:val="nil"/>
          <w:right w:val="nil"/>
          <w:between w:val="nil"/>
        </w:pBdr>
        <w:spacing w:before="240" w:after="240"/>
        <w:ind w:left="360"/>
        <w:rPr>
          <w:lang w:val="fr-FR"/>
        </w:rPr>
      </w:pPr>
      <w:r w:rsidRPr="007D6499">
        <w:rPr>
          <w:lang w:val="fr-FR"/>
        </w:rPr>
        <w:lastRenderedPageBreak/>
        <w:t>ii. Plan opérationnel : Un plan détaillant la mise en œuvre de la stratégie t</w:t>
      </w:r>
      <w:r w:rsidR="00B84F64">
        <w:rPr>
          <w:lang w:val="fr-FR"/>
        </w:rPr>
        <w:t xml:space="preserve"> pour 5ans</w:t>
      </w:r>
      <w:r w:rsidRPr="007D6499">
        <w:rPr>
          <w:lang w:val="fr-FR"/>
        </w:rPr>
        <w:t>, y compris les responsabilités des différentes parties prenantes, les ressources nécessaires et les mécanismes de suivi et d'évaluation.</w:t>
      </w:r>
    </w:p>
    <w:p w14:paraId="00000033" w14:textId="7160A092" w:rsidR="005323CE" w:rsidRPr="007D6499" w:rsidRDefault="000403DB">
      <w:pPr>
        <w:spacing w:before="240" w:after="240"/>
        <w:ind w:left="425"/>
        <w:rPr>
          <w:lang w:val="fr-FR"/>
        </w:rPr>
      </w:pPr>
      <w:r w:rsidRPr="007D6499">
        <w:rPr>
          <w:lang w:val="fr-FR"/>
        </w:rPr>
        <w:t xml:space="preserve">iii. Séance de présentation : Une séance de présentation finale de la stratégie </w:t>
      </w:r>
      <w:r w:rsidR="00B84F64">
        <w:rPr>
          <w:lang w:val="fr-FR"/>
        </w:rPr>
        <w:t xml:space="preserve">en français et anglais </w:t>
      </w:r>
      <w:r w:rsidRPr="007D6499">
        <w:rPr>
          <w:lang w:val="fr-FR"/>
        </w:rPr>
        <w:t>aux membres de l'équipe de l'UICN-</w:t>
      </w:r>
      <w:r w:rsidR="00B84F64">
        <w:rPr>
          <w:lang w:val="fr-FR"/>
        </w:rPr>
        <w:t>Med</w:t>
      </w:r>
      <w:r w:rsidRPr="007D6499">
        <w:rPr>
          <w:lang w:val="fr-FR"/>
        </w:rPr>
        <w:t>, mettant en évidence les principaux éléments de la stratégie et répondant aux questions éventuelles</w:t>
      </w:r>
      <w:r w:rsidRPr="007D6499">
        <w:rPr>
          <w:b/>
          <w:lang w:val="fr-FR"/>
        </w:rPr>
        <w:t>.</w:t>
      </w:r>
    </w:p>
    <w:p w14:paraId="00000034" w14:textId="77777777" w:rsidR="005323CE" w:rsidRPr="007D6499" w:rsidRDefault="000403DB">
      <w:pPr>
        <w:spacing w:before="240" w:after="240"/>
        <w:rPr>
          <w:color w:val="0D0D0D"/>
          <w:highlight w:val="white"/>
          <w:lang w:val="fr-FR"/>
        </w:rPr>
      </w:pPr>
      <w:r w:rsidRPr="007D6499">
        <w:rPr>
          <w:b/>
          <w:sz w:val="32"/>
          <w:szCs w:val="32"/>
          <w:lang w:val="fr-FR"/>
        </w:rPr>
        <w:t>6. Profil attendu du/des consultants</w:t>
      </w:r>
      <w:r w:rsidRPr="007D6499">
        <w:rPr>
          <w:lang w:val="fr-FR"/>
        </w:rPr>
        <w:t xml:space="preserve"> :</w:t>
      </w:r>
    </w:p>
    <w:p w14:paraId="00000035" w14:textId="77777777" w:rsidR="005323CE" w:rsidRPr="007D6499" w:rsidRDefault="000403DB">
      <w:pPr>
        <w:numPr>
          <w:ilvl w:val="0"/>
          <w:numId w:val="6"/>
        </w:numPr>
        <w:spacing w:before="240"/>
        <w:rPr>
          <w:color w:val="0D0D0D"/>
          <w:highlight w:val="white"/>
          <w:lang w:val="fr-FR"/>
        </w:rPr>
      </w:pPr>
      <w:r w:rsidRPr="007D6499">
        <w:rPr>
          <w:color w:val="0D0D0D"/>
          <w:highlight w:val="white"/>
          <w:lang w:val="fr-FR"/>
        </w:rPr>
        <w:t>Une compréhension approfondie des défis et des opportunités liés à la conservation de la nature et au renforcement de la société civile dans la région Méditerranéenne et en particulier en Afrique du Nord.</w:t>
      </w:r>
    </w:p>
    <w:p w14:paraId="00000036" w14:textId="77777777" w:rsidR="005323CE" w:rsidRPr="007D6499" w:rsidRDefault="000403DB">
      <w:pPr>
        <w:numPr>
          <w:ilvl w:val="0"/>
          <w:numId w:val="6"/>
        </w:numPr>
        <w:rPr>
          <w:color w:val="0D0D0D"/>
          <w:highlight w:val="white"/>
          <w:lang w:val="fr-FR"/>
        </w:rPr>
      </w:pPr>
      <w:r w:rsidRPr="007D6499">
        <w:rPr>
          <w:color w:val="0D0D0D"/>
          <w:highlight w:val="white"/>
          <w:lang w:val="fr-FR"/>
        </w:rPr>
        <w:t>Une expérience avérée dans le travail direct avec des organisations de la société civile, de préférence dans la région de l'Afrique du Nord</w:t>
      </w:r>
    </w:p>
    <w:p w14:paraId="00000037" w14:textId="77777777" w:rsidR="005323CE" w:rsidRPr="007D6499" w:rsidRDefault="000403DB">
      <w:pPr>
        <w:numPr>
          <w:ilvl w:val="0"/>
          <w:numId w:val="6"/>
        </w:numPr>
        <w:rPr>
          <w:color w:val="0D0D0D"/>
          <w:highlight w:val="white"/>
          <w:lang w:val="fr-FR"/>
        </w:rPr>
      </w:pPr>
      <w:r w:rsidRPr="007D6499">
        <w:rPr>
          <w:color w:val="0D0D0D"/>
          <w:highlight w:val="white"/>
          <w:lang w:val="fr-FR"/>
        </w:rPr>
        <w:t>Expérience dans l'évaluation, la recherche qualitative et quantitative, ainsi que dans l'analyse des données liées à la conservation de la biodiversité, à la résilience communautaire et au développement socio-économique</w:t>
      </w:r>
    </w:p>
    <w:p w14:paraId="00000038" w14:textId="77777777" w:rsidR="005323CE" w:rsidRPr="007D6499" w:rsidRDefault="000403DB">
      <w:pPr>
        <w:numPr>
          <w:ilvl w:val="0"/>
          <w:numId w:val="6"/>
        </w:numPr>
        <w:rPr>
          <w:color w:val="0D0D0D"/>
          <w:highlight w:val="white"/>
          <w:lang w:val="fr-FR"/>
        </w:rPr>
      </w:pPr>
      <w:r w:rsidRPr="007D6499">
        <w:rPr>
          <w:color w:val="0D0D0D"/>
          <w:highlight w:val="white"/>
          <w:lang w:val="fr-FR"/>
        </w:rPr>
        <w:t>Capacité à analyser les programmes existants, à identifier les lacunes et les opportunités, et à formuler des recommandations pour l'amélioration</w:t>
      </w:r>
    </w:p>
    <w:p w14:paraId="00000039" w14:textId="77777777" w:rsidR="005323CE" w:rsidRPr="007D6499" w:rsidRDefault="000403DB">
      <w:pPr>
        <w:numPr>
          <w:ilvl w:val="0"/>
          <w:numId w:val="6"/>
        </w:numPr>
        <w:rPr>
          <w:color w:val="0D0D0D"/>
          <w:highlight w:val="white"/>
          <w:lang w:val="fr-FR"/>
        </w:rPr>
      </w:pPr>
      <w:r w:rsidRPr="007D6499">
        <w:rPr>
          <w:color w:val="0D0D0D"/>
          <w:highlight w:val="white"/>
          <w:lang w:val="fr-FR"/>
        </w:rPr>
        <w:t xml:space="preserve">Expérience dans l’application des méthodologies de capitalisation </w:t>
      </w:r>
    </w:p>
    <w:p w14:paraId="0000003A" w14:textId="77777777" w:rsidR="005323CE" w:rsidRPr="007D6499" w:rsidRDefault="000403DB">
      <w:pPr>
        <w:numPr>
          <w:ilvl w:val="0"/>
          <w:numId w:val="6"/>
        </w:numPr>
        <w:rPr>
          <w:color w:val="0D0D0D"/>
          <w:highlight w:val="white"/>
          <w:lang w:val="fr-FR"/>
        </w:rPr>
      </w:pPr>
      <w:r w:rsidRPr="007D6499">
        <w:rPr>
          <w:color w:val="0D0D0D"/>
          <w:highlight w:val="white"/>
          <w:lang w:val="fr-FR"/>
        </w:rPr>
        <w:t xml:space="preserve">Expérience en animation d'ateliers : Capacité à gérer la coordination des parties prenantes, l'organisation d'ateliers de travail participatifs et l’analyse des recommandations  </w:t>
      </w:r>
    </w:p>
    <w:p w14:paraId="0000003B" w14:textId="77777777" w:rsidR="005323CE" w:rsidRPr="007D6499" w:rsidRDefault="000403DB">
      <w:pPr>
        <w:numPr>
          <w:ilvl w:val="0"/>
          <w:numId w:val="6"/>
        </w:numPr>
        <w:rPr>
          <w:color w:val="0D0D0D"/>
          <w:highlight w:val="white"/>
          <w:lang w:val="fr-FR"/>
        </w:rPr>
      </w:pPr>
      <w:r w:rsidRPr="007D6499">
        <w:rPr>
          <w:color w:val="0D0D0D"/>
          <w:highlight w:val="white"/>
          <w:lang w:val="fr-FR"/>
        </w:rPr>
        <w:t>Compétences en communication et en rédaction : Capacité à rédiger des rapports clairs, concis et bien structurés, ainsi qu'à présenter des informations de manière accessible à un large public.</w:t>
      </w:r>
    </w:p>
    <w:p w14:paraId="0000003C" w14:textId="77777777" w:rsidR="005323CE" w:rsidRPr="007D6499" w:rsidRDefault="000403DB">
      <w:pPr>
        <w:numPr>
          <w:ilvl w:val="0"/>
          <w:numId w:val="6"/>
        </w:numPr>
        <w:rPr>
          <w:color w:val="0D0D0D"/>
          <w:highlight w:val="white"/>
          <w:lang w:val="fr-FR"/>
        </w:rPr>
      </w:pPr>
      <w:r w:rsidRPr="007D6499">
        <w:rPr>
          <w:color w:val="0D0D0D"/>
          <w:highlight w:val="white"/>
          <w:lang w:val="fr-FR"/>
        </w:rPr>
        <w:t>Maîtrise des langues : Maîtrise du français et de l'anglais (et idéalement de l'arabe) pour faciliter la communication avec les différentes parties prenantes de la région de l'Afrique du Nord.</w:t>
      </w:r>
    </w:p>
    <w:p w14:paraId="0000003D" w14:textId="77777777" w:rsidR="005323CE" w:rsidRPr="007D6499" w:rsidRDefault="000403DB">
      <w:pPr>
        <w:numPr>
          <w:ilvl w:val="0"/>
          <w:numId w:val="6"/>
        </w:numPr>
        <w:spacing w:after="240"/>
        <w:rPr>
          <w:color w:val="0D0D0D"/>
          <w:highlight w:val="white"/>
          <w:lang w:val="fr-FR"/>
        </w:rPr>
      </w:pPr>
      <w:r w:rsidRPr="007D6499">
        <w:rPr>
          <w:color w:val="0D0D0D"/>
          <w:highlight w:val="white"/>
          <w:lang w:val="fr-FR"/>
        </w:rPr>
        <w:t>Expérience antérieure avec l'UICN ou des organisations similaires : Une expérience préalable de travail avec des organisations internationales de conservation ou de développement durable serait un atout précieux</w:t>
      </w:r>
    </w:p>
    <w:p w14:paraId="0000003E" w14:textId="77777777" w:rsidR="005323CE" w:rsidRPr="007D6499" w:rsidRDefault="000403DB">
      <w:pPr>
        <w:spacing w:before="240" w:after="240"/>
        <w:rPr>
          <w:lang w:val="fr-FR"/>
        </w:rPr>
      </w:pPr>
      <w:r w:rsidRPr="007D6499">
        <w:rPr>
          <w:b/>
          <w:sz w:val="32"/>
          <w:szCs w:val="32"/>
          <w:lang w:val="fr-FR"/>
        </w:rPr>
        <w:t>7. Calendrier :</w:t>
      </w:r>
    </w:p>
    <w:p w14:paraId="0000003F" w14:textId="77777777" w:rsidR="005323CE" w:rsidRPr="007D6499" w:rsidRDefault="000403DB">
      <w:pPr>
        <w:spacing w:before="240" w:after="240"/>
        <w:rPr>
          <w:lang w:val="fr-FR"/>
        </w:rPr>
      </w:pPr>
      <w:r w:rsidRPr="007D6499">
        <w:rPr>
          <w:lang w:val="fr-FR"/>
        </w:rPr>
        <w:t>Au début de la mission, une réunion avec l'équipe de l'UICN-Med fixera les délais de soumission des rapports intermédiaires pour examen et feedback.</w:t>
      </w:r>
    </w:p>
    <w:p w14:paraId="00000040" w14:textId="77777777" w:rsidR="005323CE" w:rsidRPr="007D6499" w:rsidRDefault="000403DB">
      <w:pPr>
        <w:spacing w:before="240" w:after="240"/>
        <w:rPr>
          <w:lang w:val="fr-FR"/>
        </w:rPr>
      </w:pPr>
      <w:r w:rsidRPr="007D6499">
        <w:rPr>
          <w:b/>
          <w:lang w:val="fr-FR"/>
        </w:rPr>
        <w:t xml:space="preserve">Fin </w:t>
      </w:r>
      <w:proofErr w:type="gramStart"/>
      <w:r w:rsidRPr="007D6499">
        <w:rPr>
          <w:b/>
          <w:lang w:val="fr-FR"/>
        </w:rPr>
        <w:t>avril:</w:t>
      </w:r>
      <w:proofErr w:type="gramEnd"/>
      <w:r w:rsidRPr="007D6499">
        <w:rPr>
          <w:lang w:val="fr-FR"/>
        </w:rPr>
        <w:t xml:space="preserve"> Lancement de la mission </w:t>
      </w:r>
    </w:p>
    <w:p w14:paraId="00000041" w14:textId="2F5643FD" w:rsidR="005323CE" w:rsidRPr="007D6499" w:rsidRDefault="000403DB">
      <w:pPr>
        <w:spacing w:before="240" w:after="240"/>
        <w:rPr>
          <w:lang w:val="fr-FR"/>
        </w:rPr>
      </w:pPr>
      <w:r w:rsidRPr="007D6499">
        <w:rPr>
          <w:b/>
          <w:lang w:val="fr-FR"/>
        </w:rPr>
        <w:t>16 -1</w:t>
      </w:r>
      <w:r w:rsidR="000C1BB6">
        <w:rPr>
          <w:b/>
          <w:lang w:val="fr-FR"/>
        </w:rPr>
        <w:t>8</w:t>
      </w:r>
      <w:r w:rsidRPr="007D6499">
        <w:rPr>
          <w:b/>
          <w:lang w:val="fr-FR"/>
        </w:rPr>
        <w:t xml:space="preserve"> </w:t>
      </w:r>
      <w:proofErr w:type="gramStart"/>
      <w:r w:rsidRPr="007D6499">
        <w:rPr>
          <w:b/>
          <w:lang w:val="fr-FR"/>
        </w:rPr>
        <w:t>mai:</w:t>
      </w:r>
      <w:proofErr w:type="gramEnd"/>
      <w:r w:rsidRPr="007D6499">
        <w:rPr>
          <w:lang w:val="fr-FR"/>
        </w:rPr>
        <w:t xml:space="preserve"> Participation à l'atelier régional de PPI OSCAN </w:t>
      </w:r>
      <w:r w:rsidR="00E84CD0">
        <w:rPr>
          <w:lang w:val="fr-FR"/>
        </w:rPr>
        <w:t>à Agadir au Maroc</w:t>
      </w:r>
    </w:p>
    <w:p w14:paraId="00000042" w14:textId="11F715A7" w:rsidR="005323CE" w:rsidRPr="007D6499" w:rsidRDefault="00E84CD0">
      <w:pPr>
        <w:spacing w:before="240" w:after="240"/>
        <w:rPr>
          <w:lang w:val="fr-FR"/>
        </w:rPr>
      </w:pPr>
      <w:proofErr w:type="spellStart"/>
      <w:r w:rsidRPr="007D6499">
        <w:rPr>
          <w:b/>
          <w:lang w:val="fr-FR"/>
        </w:rPr>
        <w:t>M</w:t>
      </w:r>
      <w:r w:rsidR="000403DB" w:rsidRPr="007D6499">
        <w:rPr>
          <w:b/>
          <w:lang w:val="fr-FR"/>
        </w:rPr>
        <w:t>ai</w:t>
      </w:r>
      <w:r>
        <w:rPr>
          <w:b/>
          <w:lang w:val="fr-FR"/>
        </w:rPr>
        <w:t>-</w:t>
      </w:r>
      <w:proofErr w:type="gramStart"/>
      <w:r>
        <w:rPr>
          <w:b/>
          <w:lang w:val="fr-FR"/>
        </w:rPr>
        <w:t>juillet</w:t>
      </w:r>
      <w:proofErr w:type="spellEnd"/>
      <w:r w:rsidR="000403DB" w:rsidRPr="007D6499">
        <w:rPr>
          <w:b/>
          <w:lang w:val="fr-FR"/>
        </w:rPr>
        <w:t>:</w:t>
      </w:r>
      <w:proofErr w:type="gramEnd"/>
      <w:r w:rsidR="000403DB" w:rsidRPr="007D6499">
        <w:rPr>
          <w:b/>
          <w:lang w:val="fr-FR"/>
        </w:rPr>
        <w:t xml:space="preserve"> </w:t>
      </w:r>
      <w:r w:rsidR="000403DB" w:rsidRPr="007D6499">
        <w:rPr>
          <w:lang w:val="fr-FR"/>
        </w:rPr>
        <w:t xml:space="preserve">Organisation d’un atelier de travail avec l’équipe de l’UICN-Med </w:t>
      </w:r>
    </w:p>
    <w:p w14:paraId="00000043" w14:textId="77777777" w:rsidR="005323CE" w:rsidRPr="007D6499" w:rsidRDefault="000403DB">
      <w:pPr>
        <w:spacing w:before="240" w:after="240"/>
        <w:rPr>
          <w:lang w:val="fr-FR"/>
        </w:rPr>
      </w:pPr>
      <w:r w:rsidRPr="007D6499">
        <w:rPr>
          <w:b/>
          <w:lang w:val="fr-FR"/>
        </w:rPr>
        <w:t xml:space="preserve">Février </w:t>
      </w:r>
      <w:proofErr w:type="gramStart"/>
      <w:r w:rsidRPr="007D6499">
        <w:rPr>
          <w:b/>
          <w:lang w:val="fr-FR"/>
        </w:rPr>
        <w:t>2025:</w:t>
      </w:r>
      <w:proofErr w:type="gramEnd"/>
      <w:r w:rsidRPr="007D6499">
        <w:rPr>
          <w:lang w:val="fr-FR"/>
        </w:rPr>
        <w:t xml:space="preserve"> soumissions des livrables finaux. Pour chaque livrable </w:t>
      </w:r>
      <w:proofErr w:type="gramStart"/>
      <w:r w:rsidRPr="007D6499">
        <w:rPr>
          <w:lang w:val="fr-FR"/>
        </w:rPr>
        <w:t>deux révisions minimum</w:t>
      </w:r>
      <w:proofErr w:type="gramEnd"/>
      <w:r w:rsidRPr="007D6499">
        <w:rPr>
          <w:lang w:val="fr-FR"/>
        </w:rPr>
        <w:t xml:space="preserve"> seront prévues par l’UICN-Med avant les versions finales.</w:t>
      </w:r>
    </w:p>
    <w:p w14:paraId="00000044" w14:textId="77777777" w:rsidR="005323CE" w:rsidRPr="007D6499" w:rsidRDefault="000403DB">
      <w:pPr>
        <w:spacing w:before="240" w:after="240"/>
        <w:rPr>
          <w:lang w:val="fr-FR"/>
        </w:rPr>
      </w:pPr>
      <w:r w:rsidRPr="007D6499">
        <w:rPr>
          <w:b/>
          <w:sz w:val="32"/>
          <w:szCs w:val="32"/>
          <w:lang w:val="fr-FR"/>
        </w:rPr>
        <w:lastRenderedPageBreak/>
        <w:t xml:space="preserve">8. Détails de soumission et budget </w:t>
      </w:r>
      <w:r w:rsidRPr="007D6499">
        <w:rPr>
          <w:lang w:val="fr-FR"/>
        </w:rPr>
        <w:t xml:space="preserve">: </w:t>
      </w:r>
    </w:p>
    <w:p w14:paraId="00000045" w14:textId="144C6969" w:rsidR="005323CE" w:rsidRPr="007D6499" w:rsidRDefault="000403DB">
      <w:pPr>
        <w:spacing w:before="240" w:after="240"/>
        <w:rPr>
          <w:rFonts w:ascii="Roboto" w:eastAsia="Roboto" w:hAnsi="Roboto" w:cs="Roboto"/>
          <w:color w:val="0D0D0D"/>
          <w:sz w:val="24"/>
          <w:szCs w:val="24"/>
          <w:highlight w:val="white"/>
          <w:lang w:val="fr-FR"/>
        </w:rPr>
      </w:pPr>
      <w:r w:rsidRPr="007D6499">
        <w:rPr>
          <w:lang w:val="fr-FR"/>
        </w:rPr>
        <w:t xml:space="preserve">Les consultants ou équipes intéressés sont invités à soumettre leurs propositions avant le </w:t>
      </w:r>
      <w:r w:rsidR="00B90278">
        <w:rPr>
          <w:lang w:val="fr-FR"/>
        </w:rPr>
        <w:t>21</w:t>
      </w:r>
      <w:r w:rsidRPr="007D6499">
        <w:rPr>
          <w:lang w:val="fr-FR"/>
        </w:rPr>
        <w:t xml:space="preserve"> avril à </w:t>
      </w:r>
      <w:hyperlink r:id="rId9">
        <w:r w:rsidRPr="007D6499">
          <w:rPr>
            <w:color w:val="1155CC"/>
            <w:u w:val="single"/>
            <w:lang w:val="fr-FR"/>
          </w:rPr>
          <w:t>uicnmed@iucn.org</w:t>
        </w:r>
      </w:hyperlink>
      <w:r w:rsidRPr="007D6499">
        <w:rPr>
          <w:lang w:val="fr-FR"/>
        </w:rPr>
        <w:t xml:space="preserve"> </w:t>
      </w:r>
      <w:proofErr w:type="gramStart"/>
      <w:r w:rsidRPr="007D6499">
        <w:rPr>
          <w:lang w:val="fr-FR"/>
        </w:rPr>
        <w:t>cc:</w:t>
      </w:r>
      <w:proofErr w:type="gramEnd"/>
      <w:r w:rsidRPr="007D6499">
        <w:rPr>
          <w:lang w:val="fr-FR"/>
        </w:rPr>
        <w:t xml:space="preserve"> </w:t>
      </w:r>
      <w:hyperlink r:id="rId10">
        <w:r w:rsidRPr="007D6499">
          <w:rPr>
            <w:color w:val="1155CC"/>
            <w:u w:val="single"/>
            <w:lang w:val="fr-FR"/>
          </w:rPr>
          <w:t>helene.willem@iucn.org</w:t>
        </w:r>
      </w:hyperlink>
      <w:r w:rsidRPr="007D6499">
        <w:rPr>
          <w:lang w:val="fr-FR"/>
        </w:rPr>
        <w:t xml:space="preserve">. Les propositions devront couvrir les deux volets sur la capitalisation du PPI OSCAN et </w:t>
      </w:r>
      <w:r w:rsidR="00B90278">
        <w:rPr>
          <w:lang w:val="fr-FR"/>
        </w:rPr>
        <w:t>élaboration de l</w:t>
      </w:r>
      <w:r w:rsidRPr="007D6499">
        <w:rPr>
          <w:lang w:val="fr-FR"/>
        </w:rPr>
        <w:t>a stratégie</w:t>
      </w:r>
      <w:r w:rsidRPr="007D6499">
        <w:rPr>
          <w:rFonts w:ascii="Roboto" w:eastAsia="Roboto" w:hAnsi="Roboto" w:cs="Roboto"/>
          <w:color w:val="0D0D0D"/>
          <w:sz w:val="24"/>
          <w:szCs w:val="24"/>
          <w:highlight w:val="white"/>
          <w:lang w:val="fr-FR"/>
        </w:rPr>
        <w:t xml:space="preserve"> </w:t>
      </w:r>
    </w:p>
    <w:p w14:paraId="00000046" w14:textId="77777777" w:rsidR="005323CE" w:rsidRPr="007D6499" w:rsidRDefault="000403DB">
      <w:pPr>
        <w:spacing w:before="240" w:after="240"/>
        <w:rPr>
          <w:lang w:val="fr-FR"/>
        </w:rPr>
      </w:pPr>
      <w:r w:rsidRPr="007D6499">
        <w:rPr>
          <w:lang w:val="fr-FR"/>
        </w:rPr>
        <w:t>Le budget total alloué à cette mission est de 25 000 euros, toutes taxes comprises, couvrant tous les frais, y compris les honoraires des consultants, les déplacements et hébergements éventuels</w:t>
      </w:r>
    </w:p>
    <w:p w14:paraId="00000047" w14:textId="77777777" w:rsidR="005323CE" w:rsidRDefault="000403DB">
      <w:pPr>
        <w:spacing w:before="240" w:after="240"/>
      </w:pPr>
      <w:r>
        <w:t xml:space="preserve">Les </w:t>
      </w:r>
      <w:proofErr w:type="spellStart"/>
      <w:r>
        <w:t>propositions</w:t>
      </w:r>
      <w:proofErr w:type="spellEnd"/>
      <w:r>
        <w:t xml:space="preserve"> </w:t>
      </w:r>
      <w:proofErr w:type="spellStart"/>
      <w:r>
        <w:t>doivent</w:t>
      </w:r>
      <w:proofErr w:type="spellEnd"/>
      <w:r>
        <w:t xml:space="preserve"> </w:t>
      </w:r>
      <w:proofErr w:type="spellStart"/>
      <w:proofErr w:type="gramStart"/>
      <w:r>
        <w:t>inclure</w:t>
      </w:r>
      <w:proofErr w:type="spellEnd"/>
      <w:r>
        <w:t xml:space="preserve"> :</w:t>
      </w:r>
      <w:proofErr w:type="gramEnd"/>
    </w:p>
    <w:p w14:paraId="00000048" w14:textId="77777777" w:rsidR="005323CE" w:rsidRDefault="000403DB">
      <w:pPr>
        <w:numPr>
          <w:ilvl w:val="0"/>
          <w:numId w:val="8"/>
        </w:numPr>
      </w:pPr>
      <w:r>
        <w:t xml:space="preserve">Une </w:t>
      </w:r>
      <w:proofErr w:type="spellStart"/>
      <w:r>
        <w:t>proposition</w:t>
      </w:r>
      <w:proofErr w:type="spellEnd"/>
      <w:r>
        <w:t xml:space="preserve"> de </w:t>
      </w:r>
      <w:proofErr w:type="spellStart"/>
      <w:r>
        <w:t>budget</w:t>
      </w:r>
      <w:proofErr w:type="spellEnd"/>
      <w:r>
        <w:t xml:space="preserve"> </w:t>
      </w:r>
    </w:p>
    <w:p w14:paraId="00000049" w14:textId="7173C9A5" w:rsidR="005323CE" w:rsidRPr="007D6499" w:rsidRDefault="000403DB">
      <w:pPr>
        <w:numPr>
          <w:ilvl w:val="0"/>
          <w:numId w:val="8"/>
        </w:numPr>
        <w:rPr>
          <w:lang w:val="fr-FR"/>
        </w:rPr>
      </w:pPr>
      <w:r w:rsidRPr="007D6499">
        <w:rPr>
          <w:lang w:val="fr-FR"/>
        </w:rPr>
        <w:t>Méthodologie</w:t>
      </w:r>
      <w:r w:rsidR="00B90278">
        <w:rPr>
          <w:lang w:val="fr-FR"/>
        </w:rPr>
        <w:t xml:space="preserve"> et</w:t>
      </w:r>
      <w:r w:rsidRPr="007D6499">
        <w:rPr>
          <w:lang w:val="fr-FR"/>
        </w:rPr>
        <w:t xml:space="preserve"> plan de travail proposés</w:t>
      </w:r>
    </w:p>
    <w:p w14:paraId="0000004A" w14:textId="77777777" w:rsidR="005323CE" w:rsidRDefault="000403DB">
      <w:pPr>
        <w:numPr>
          <w:ilvl w:val="0"/>
          <w:numId w:val="8"/>
        </w:numPr>
      </w:pPr>
      <w:proofErr w:type="spellStart"/>
      <w:r>
        <w:t>Commentaires</w:t>
      </w:r>
      <w:proofErr w:type="spellEnd"/>
      <w:r>
        <w:t xml:space="preserve"> sur les </w:t>
      </w:r>
      <w:proofErr w:type="spellStart"/>
      <w:r>
        <w:t>TdR</w:t>
      </w:r>
      <w:proofErr w:type="spellEnd"/>
    </w:p>
    <w:p w14:paraId="0000004B" w14:textId="2629393D" w:rsidR="005323CE" w:rsidRPr="007D6499" w:rsidRDefault="000403DB">
      <w:pPr>
        <w:numPr>
          <w:ilvl w:val="0"/>
          <w:numId w:val="8"/>
        </w:numPr>
        <w:spacing w:after="240"/>
        <w:rPr>
          <w:lang w:val="fr-FR"/>
        </w:rPr>
      </w:pPr>
      <w:r w:rsidRPr="007D6499">
        <w:rPr>
          <w:lang w:val="fr-FR"/>
        </w:rPr>
        <w:t xml:space="preserve">Curriculum Vitae de l'équipe et référence à </w:t>
      </w:r>
      <w:r w:rsidR="00B90278">
        <w:rPr>
          <w:lang w:val="fr-FR"/>
        </w:rPr>
        <w:t>des</w:t>
      </w:r>
      <w:r w:rsidRPr="007D6499">
        <w:rPr>
          <w:lang w:val="fr-FR"/>
        </w:rPr>
        <w:t xml:space="preserve"> mission</w:t>
      </w:r>
      <w:r w:rsidR="00B90278">
        <w:rPr>
          <w:lang w:val="fr-FR"/>
        </w:rPr>
        <w:t>s</w:t>
      </w:r>
      <w:r w:rsidRPr="007D6499">
        <w:rPr>
          <w:lang w:val="fr-FR"/>
        </w:rPr>
        <w:t xml:space="preserve"> similaire</w:t>
      </w:r>
      <w:r w:rsidR="00B90278">
        <w:rPr>
          <w:lang w:val="fr-FR"/>
        </w:rPr>
        <w:t>s</w:t>
      </w:r>
    </w:p>
    <w:p w14:paraId="0000004C" w14:textId="77777777" w:rsidR="005323CE" w:rsidRPr="007D6499" w:rsidRDefault="000403DB">
      <w:pPr>
        <w:spacing w:before="240" w:after="240"/>
        <w:rPr>
          <w:lang w:val="fr-FR"/>
        </w:rPr>
      </w:pPr>
      <w:r w:rsidRPr="007D6499">
        <w:rPr>
          <w:lang w:val="fr-FR"/>
        </w:rPr>
        <w:t>Pour toute question, contactez : helene.willem@iucn.org</w:t>
      </w:r>
    </w:p>
    <w:p w14:paraId="0000004D" w14:textId="77777777" w:rsidR="005323CE" w:rsidRPr="007D6499" w:rsidRDefault="000403DB">
      <w:pPr>
        <w:spacing w:before="240" w:after="240"/>
        <w:rPr>
          <w:lang w:val="fr-FR"/>
        </w:rPr>
      </w:pPr>
      <w:r w:rsidRPr="007D6499">
        <w:rPr>
          <w:b/>
          <w:sz w:val="32"/>
          <w:szCs w:val="32"/>
          <w:lang w:val="fr-FR"/>
        </w:rPr>
        <w:t>9. Informations utiles :</w:t>
      </w:r>
    </w:p>
    <w:p w14:paraId="0000004E" w14:textId="77777777" w:rsidR="005323CE" w:rsidRPr="007D6499" w:rsidRDefault="000403DB">
      <w:pPr>
        <w:spacing w:before="240" w:after="240"/>
        <w:rPr>
          <w:lang w:val="fr-FR"/>
        </w:rPr>
      </w:pPr>
      <w:r w:rsidRPr="007D6499">
        <w:rPr>
          <w:lang w:val="fr-FR"/>
        </w:rPr>
        <w:t>Fondée en 1948, l'Union internationale pour la conservation de la nature (UICN) est considérée comme la plus grande et la plus ancienne organisation de conservation au monde. L'Union représente une plateforme où les gouvernements, les entreprises, les ONG, les experts et les communautés locales travaillent ensemble pour mettre en œuvre des solutions aux défis environnementaux. Le Centre de coopération méditerranéenne de l'UICN, ouvert en 2001 à Malaga (Espagne), vise à encourager et à aider les sociétés méditerranéennes à concilier la conservation des ressources naturelles avec leur utilisation en adoptant un modèle de développement durable. Depuis sa création, le centre accorde une attention particulière à la région de l'Afrique du Nord.</w:t>
      </w:r>
    </w:p>
    <w:p w14:paraId="0000004F" w14:textId="77777777" w:rsidR="005323CE" w:rsidRPr="007D6499" w:rsidRDefault="000403DB">
      <w:pPr>
        <w:spacing w:before="240" w:after="240"/>
        <w:rPr>
          <w:lang w:val="fr-FR"/>
        </w:rPr>
      </w:pPr>
      <w:r w:rsidRPr="007D6499">
        <w:rPr>
          <w:lang w:val="fr-FR"/>
        </w:rPr>
        <w:t>Malgré la présence d'écosystèmes diversifiés et d'espèces uniques, cette région fait face à une perte de la biodiversité et sa population est très vulnérable aux événements climatiques récurrents. Les organisations de la société civile jouent un rôle crucial dans les contextes locaux, en améliorant les moyens de subsistance locaux, en renforçant la gouvernance des ressources naturelles et en mettant en œuvre les priorités nationales en matière de conservation. Mais un manque de visibilité et de clarté pénalise les organisations, qui ont besoin d'un soutien adapté pour renforcer leur action sur le terrain et leur collaboration avec les services publics.</w:t>
      </w:r>
    </w:p>
    <w:p w14:paraId="00000050" w14:textId="66F426F4" w:rsidR="005323CE" w:rsidRPr="00B90278" w:rsidRDefault="00B90278">
      <w:pPr>
        <w:spacing w:before="240" w:after="240"/>
        <w:rPr>
          <w:lang w:val="fr-FR"/>
        </w:rPr>
      </w:pPr>
      <w:r>
        <w:rPr>
          <w:lang w:val="fr-FR"/>
        </w:rPr>
        <w:t>C’est pourquoi depuis 2014, l’</w:t>
      </w:r>
      <w:r w:rsidR="000403DB" w:rsidRPr="007D6499">
        <w:rPr>
          <w:lang w:val="fr-FR"/>
        </w:rPr>
        <w:t>UICN-Med agit en tant que facilitateur, offrant un financement et un renforcement des capacités sur mesure</w:t>
      </w:r>
      <w:r w:rsidRPr="00B90278">
        <w:rPr>
          <w:lang w:val="fr-FR"/>
        </w:rPr>
        <w:t xml:space="preserve"> </w:t>
      </w:r>
      <w:r>
        <w:rPr>
          <w:lang w:val="fr-FR"/>
        </w:rPr>
        <w:t>aux</w:t>
      </w:r>
      <w:r w:rsidRPr="007D6499">
        <w:rPr>
          <w:lang w:val="fr-FR"/>
        </w:rPr>
        <w:t xml:space="preserve"> organisations émergentes et résilientes, facilitant leur croissance tout en maintenant une échelle humaine</w:t>
      </w:r>
      <w:r w:rsidR="000403DB" w:rsidRPr="007D6499">
        <w:rPr>
          <w:lang w:val="fr-FR"/>
        </w:rPr>
        <w:t xml:space="preserve">. </w:t>
      </w:r>
      <w:r w:rsidR="000403DB" w:rsidRPr="00B90278">
        <w:rPr>
          <w:lang w:val="fr-FR"/>
        </w:rPr>
        <w:t xml:space="preserve">Grâce aux programmes PPI OSCAN et </w:t>
      </w:r>
      <w:proofErr w:type="spellStart"/>
      <w:r w:rsidR="000403DB" w:rsidRPr="00B90278">
        <w:rPr>
          <w:lang w:val="fr-FR"/>
        </w:rPr>
        <w:t>TransCap</w:t>
      </w:r>
      <w:proofErr w:type="spellEnd"/>
      <w:r w:rsidR="000403DB" w:rsidRPr="00B90278">
        <w:rPr>
          <w:lang w:val="fr-FR"/>
        </w:rPr>
        <w:t xml:space="preserve">, </w:t>
      </w:r>
      <w:r>
        <w:rPr>
          <w:lang w:val="fr-FR"/>
        </w:rPr>
        <w:t>l’UICN-Med</w:t>
      </w:r>
      <w:r w:rsidR="000403DB" w:rsidRPr="00B90278">
        <w:rPr>
          <w:lang w:val="fr-FR"/>
        </w:rPr>
        <w:t xml:space="preserve"> offre :</w:t>
      </w:r>
    </w:p>
    <w:p w14:paraId="00000051" w14:textId="77777777" w:rsidR="005323CE" w:rsidRPr="007D6499" w:rsidRDefault="000403DB">
      <w:pPr>
        <w:numPr>
          <w:ilvl w:val="0"/>
          <w:numId w:val="3"/>
        </w:numPr>
        <w:rPr>
          <w:lang w:val="fr-FR"/>
        </w:rPr>
      </w:pPr>
      <w:r w:rsidRPr="007D6499">
        <w:rPr>
          <w:lang w:val="fr-FR"/>
        </w:rPr>
        <w:t>Des subventions et un soutien financier pour des projets sur le terrain pour la conservation de la biodiversité et la résilience communautaire au changement climatique.</w:t>
      </w:r>
    </w:p>
    <w:p w14:paraId="00000052" w14:textId="3DD7EADF" w:rsidR="005323CE" w:rsidRPr="007D6499" w:rsidRDefault="000403DB">
      <w:pPr>
        <w:numPr>
          <w:ilvl w:val="0"/>
          <w:numId w:val="3"/>
        </w:numPr>
        <w:rPr>
          <w:lang w:val="fr-FR"/>
        </w:rPr>
      </w:pPr>
      <w:r w:rsidRPr="007D6499">
        <w:rPr>
          <w:lang w:val="fr-FR"/>
        </w:rPr>
        <w:lastRenderedPageBreak/>
        <w:t>Des formations pour renforcer les capacités techniques, administratives et financières des organisations de la société civile.</w:t>
      </w:r>
    </w:p>
    <w:p w14:paraId="00000053" w14:textId="77777777" w:rsidR="005323CE" w:rsidRPr="007D6499" w:rsidRDefault="000403DB">
      <w:pPr>
        <w:numPr>
          <w:ilvl w:val="0"/>
          <w:numId w:val="3"/>
        </w:numPr>
        <w:rPr>
          <w:lang w:val="fr-FR"/>
        </w:rPr>
      </w:pPr>
      <w:r w:rsidRPr="007D6499">
        <w:rPr>
          <w:lang w:val="fr-FR"/>
        </w:rPr>
        <w:t>Un atelier régional rassemblant tous les partenaires de chaque programme pour faciliter le réseautage entre les organisations de la société civile et participer aux débats avec les parties prenantes environnementales.</w:t>
      </w:r>
    </w:p>
    <w:p w14:paraId="00000054" w14:textId="77777777" w:rsidR="005323CE" w:rsidRPr="007D6499" w:rsidRDefault="000403DB">
      <w:pPr>
        <w:numPr>
          <w:ilvl w:val="0"/>
          <w:numId w:val="3"/>
        </w:numPr>
        <w:spacing w:after="240"/>
        <w:rPr>
          <w:lang w:val="fr-FR"/>
        </w:rPr>
      </w:pPr>
      <w:r w:rsidRPr="007D6499">
        <w:rPr>
          <w:lang w:val="fr-FR"/>
        </w:rPr>
        <w:t>Une plateforme de communication et une newsletter pour la diffusion des résultats à l'échelle internationale.</w:t>
      </w:r>
    </w:p>
    <w:p w14:paraId="00000055" w14:textId="77777777" w:rsidR="005323CE" w:rsidRPr="007D6499" w:rsidRDefault="000403DB">
      <w:pPr>
        <w:rPr>
          <w:color w:val="1155CC"/>
          <w:u w:val="single"/>
          <w:lang w:val="fr-FR"/>
        </w:rPr>
      </w:pPr>
      <w:r w:rsidRPr="007D6499">
        <w:rPr>
          <w:lang w:val="fr-FR"/>
        </w:rPr>
        <w:t>Pour plus d'informations :</w:t>
      </w:r>
      <w:hyperlink r:id="rId11">
        <w:r w:rsidRPr="007D6499">
          <w:rPr>
            <w:lang w:val="fr-FR"/>
          </w:rPr>
          <w:t xml:space="preserve"> </w:t>
        </w:r>
      </w:hyperlink>
      <w:hyperlink r:id="rId12">
        <w:r w:rsidRPr="007D6499">
          <w:rPr>
            <w:color w:val="1155CC"/>
            <w:u w:val="single"/>
            <w:lang w:val="fr-FR"/>
          </w:rPr>
          <w:t>MUBADARAT– Appui à la Société Civile Nord-Africaine (mubadarat-uicn.org)</w:t>
        </w:r>
      </w:hyperlink>
    </w:p>
    <w:p w14:paraId="00000056" w14:textId="334FD58F" w:rsidR="005323CE" w:rsidRPr="007D6499" w:rsidRDefault="000403DB">
      <w:pPr>
        <w:spacing w:before="240" w:after="240"/>
        <w:rPr>
          <w:lang w:val="fr-FR"/>
        </w:rPr>
      </w:pPr>
      <w:r w:rsidRPr="007D6499">
        <w:rPr>
          <w:lang w:val="fr-FR"/>
        </w:rPr>
        <w:t xml:space="preserve">L'équipe </w:t>
      </w:r>
      <w:r w:rsidR="00B90278">
        <w:rPr>
          <w:lang w:val="fr-FR"/>
        </w:rPr>
        <w:t xml:space="preserve">en charge </w:t>
      </w:r>
      <w:r w:rsidRPr="007D6499">
        <w:rPr>
          <w:lang w:val="fr-FR"/>
        </w:rPr>
        <w:t xml:space="preserve">est composée des coordinateurs de programmes de PPI OSCAN et de </w:t>
      </w:r>
      <w:proofErr w:type="spellStart"/>
      <w:r w:rsidRPr="007D6499">
        <w:rPr>
          <w:lang w:val="fr-FR"/>
        </w:rPr>
        <w:t>TransCap</w:t>
      </w:r>
      <w:proofErr w:type="spellEnd"/>
      <w:r w:rsidRPr="007D6499">
        <w:rPr>
          <w:lang w:val="fr-FR"/>
        </w:rPr>
        <w:t xml:space="preserve"> à Malaga et des coordinateurs nationaux dans chaque pays. Ces 3 coordinateurs nationaux offrent un soutien étroit aux bénéficiaires des deux programmes tout au long de la mise en œuvre de leur projet.</w:t>
      </w:r>
    </w:p>
    <w:p w14:paraId="00000057" w14:textId="77777777" w:rsidR="005323CE" w:rsidRPr="007D6499" w:rsidRDefault="000403DB">
      <w:pPr>
        <w:spacing w:before="240" w:after="240"/>
        <w:rPr>
          <w:b/>
          <w:lang w:val="fr-FR"/>
        </w:rPr>
      </w:pPr>
      <w:r w:rsidRPr="007D6499">
        <w:rPr>
          <w:b/>
          <w:lang w:val="fr-FR"/>
        </w:rPr>
        <w:t>Le Programme PPI OSCAN</w:t>
      </w:r>
    </w:p>
    <w:p w14:paraId="00000058" w14:textId="77777777" w:rsidR="005323CE" w:rsidRPr="007D6499" w:rsidRDefault="000403DB">
      <w:pPr>
        <w:spacing w:before="240" w:after="240"/>
        <w:rPr>
          <w:color w:val="1155CC"/>
          <w:u w:val="single"/>
          <w:lang w:val="fr-FR"/>
        </w:rPr>
      </w:pPr>
      <w:r w:rsidRPr="007D6499">
        <w:rPr>
          <w:lang w:val="fr-FR"/>
        </w:rPr>
        <w:t>En 2014, le Fonds français pour l'environnement mondial (FFEM) en collaboration avec la Fondation MAVA, a lancé avec l'UICN-Med le Programme de Petites Initiatives (PPI) pour les Organisations de la Société Civile en Afrique du Nord (OSCAN). Ce programme s'est inspiré des programmes PPI menés en Afrique centrale et de l'Ouest depuis 2006 par le Comité français de l'UICN :</w:t>
      </w:r>
      <w:hyperlink r:id="rId13">
        <w:r w:rsidRPr="007D6499">
          <w:rPr>
            <w:lang w:val="fr-FR"/>
          </w:rPr>
          <w:t xml:space="preserve"> </w:t>
        </w:r>
      </w:hyperlink>
      <w:hyperlink r:id="rId14">
        <w:r w:rsidRPr="007D6499">
          <w:rPr>
            <w:color w:val="1155CC"/>
            <w:u w:val="single"/>
            <w:lang w:val="fr-FR"/>
          </w:rPr>
          <w:t>Approche PPI</w:t>
        </w:r>
      </w:hyperlink>
    </w:p>
    <w:p w14:paraId="00000059" w14:textId="77777777" w:rsidR="005323CE" w:rsidRPr="007D6499" w:rsidRDefault="000403DB">
      <w:pPr>
        <w:spacing w:before="240" w:after="240"/>
        <w:rPr>
          <w:lang w:val="fr-FR"/>
        </w:rPr>
      </w:pPr>
      <w:r w:rsidRPr="007D6499">
        <w:rPr>
          <w:lang w:val="fr-FR"/>
        </w:rPr>
        <w:t>Sur la base d'un appel à propositions recevant 248 soumissions, le premier PPI-OSCAN (2014-2017) a soutenu 37 petits projets menés par des OSC émergentes en Algérie, en Libye, au Maroc et en Tunisie, avec un double objectif : 1) contribuer à la protection et à la valorisation de la biodiversité et des ressources naturelles et à l'adaptation au changement climatique ; 2) renforcer la société civile en Afrique du Nord pour qu'elle contribue activement à la mise en œuvre des politiques publiques environnementales. Le soutien aux OSC comprenait le cofinancement de petits projets (jusqu'à 30 000 €), des programmes de renforcement des capacités et un accompagnement étroit des OSC.</w:t>
      </w:r>
    </w:p>
    <w:p w14:paraId="0000005A" w14:textId="77777777" w:rsidR="005323CE" w:rsidRPr="007D6499" w:rsidRDefault="000403DB">
      <w:pPr>
        <w:spacing w:before="240" w:after="240"/>
        <w:rPr>
          <w:lang w:val="fr-FR"/>
        </w:rPr>
      </w:pPr>
      <w:r w:rsidRPr="007D6499">
        <w:rPr>
          <w:lang w:val="fr-FR"/>
        </w:rPr>
        <w:t>La deuxième phase du PPI-OSCAN, dotée d'un budget total de 2,825 millions d'euros, a été mise en œuvre pendant la période 2018-2021. 233 propositions ont été reçues, dont 42 projets ont été sélectionnés. Parmi les bénéficiaires, 8 organisations étaient des bénéficiaires historiques de PPI OSCAN 1. Les subventions attribuées variaient par projet de 10 000 € à 20 000 € pour les organisations émergentes et de 20 000 € à 40 000 € pour les organisations historiques, pour une durée de 2 ans. Chaque organisation devait contribuer à hauteur de 10 % minimum de cofinancement en espèces ou en nature. Dans chaque pays, un coordinateur national assurait un suivi continu des organisations. Quatre sessions de formation thématiques ont été organisées dans chaque pays sur la gestion financière, le suivi et l'évaluation, la planification stratégique et la communication.</w:t>
      </w:r>
    </w:p>
    <w:p w14:paraId="0000005B" w14:textId="77777777" w:rsidR="005323CE" w:rsidRPr="007D6499" w:rsidRDefault="000403DB">
      <w:pPr>
        <w:spacing w:before="240" w:after="240"/>
        <w:rPr>
          <w:lang w:val="fr-FR"/>
        </w:rPr>
      </w:pPr>
      <w:r w:rsidRPr="007D6499">
        <w:rPr>
          <w:lang w:val="fr-FR"/>
        </w:rPr>
        <w:t xml:space="preserve">Mise en œuvre entre 2022 et 2025, la troisième phase du PPI OSCAN 3 a apporté quelques changements d'approche par rapport aux deux précédentes. Tout d'abord, elle a reçu un soutien financier d'un troisième donateur, la Fondation Sigrid </w:t>
      </w:r>
      <w:proofErr w:type="spellStart"/>
      <w:r w:rsidRPr="007D6499">
        <w:rPr>
          <w:lang w:val="fr-FR"/>
        </w:rPr>
        <w:t>Rausing</w:t>
      </w:r>
      <w:proofErr w:type="spellEnd"/>
      <w:r w:rsidRPr="007D6499">
        <w:rPr>
          <w:lang w:val="fr-FR"/>
        </w:rPr>
        <w:t xml:space="preserve"> Trust, et l'Algérie s'est retirée des bénéficiaires. Deux appels à projets ont été publiés au Maroc, en Libye et en Tunisie, l'un spécifique aux organisations historiques et l'autre dédié aux organisations </w:t>
      </w:r>
      <w:r w:rsidRPr="007D6499">
        <w:rPr>
          <w:lang w:val="fr-FR"/>
        </w:rPr>
        <w:lastRenderedPageBreak/>
        <w:t xml:space="preserve">émergentes (créées après 2015 ou n'ayant pas reçu de fonds de plus de ...). Les 11 organisations historiques sélectionnées ont reçu une subvention entre 40 000 € et 70 000 € et un soutien au renforcement des capacités personnalisé d'une valeur maximale de 10 000 €. Les 17 organisations émergentes sélectionnées ont reçu une subvention entre 20 000 € et 40 000 € et 5 sessions de formation thématiques sur la gestion financière, le suivi et l'évaluation, la planification stratégique, la communication et la collecte de fonds. </w:t>
      </w:r>
    </w:p>
    <w:p w14:paraId="0000005C" w14:textId="77777777" w:rsidR="005323CE" w:rsidRPr="007D6499" w:rsidRDefault="000403DB">
      <w:pPr>
        <w:spacing w:before="240" w:after="240"/>
        <w:rPr>
          <w:b/>
          <w:lang w:val="fr-FR"/>
        </w:rPr>
      </w:pPr>
      <w:r w:rsidRPr="007D6499">
        <w:rPr>
          <w:b/>
          <w:lang w:val="fr-FR"/>
        </w:rPr>
        <w:t xml:space="preserve">Le programme </w:t>
      </w:r>
      <w:proofErr w:type="spellStart"/>
      <w:r w:rsidRPr="007D6499">
        <w:rPr>
          <w:b/>
          <w:lang w:val="fr-FR"/>
        </w:rPr>
        <w:t>TransCap</w:t>
      </w:r>
      <w:proofErr w:type="spellEnd"/>
    </w:p>
    <w:p w14:paraId="0000005D" w14:textId="77777777" w:rsidR="005323CE" w:rsidRPr="007D6499" w:rsidRDefault="000403DB">
      <w:pPr>
        <w:spacing w:before="240" w:after="240"/>
        <w:rPr>
          <w:lang w:val="fr-FR"/>
        </w:rPr>
      </w:pPr>
      <w:r w:rsidRPr="007D6499">
        <w:rPr>
          <w:lang w:val="fr-FR"/>
        </w:rPr>
        <w:t xml:space="preserve">Établi en 2021 grâce à de nouveaux fonds de la Direction de la coopération des îles Baléares, le programme </w:t>
      </w:r>
      <w:proofErr w:type="spellStart"/>
      <w:r w:rsidRPr="007D6499">
        <w:rPr>
          <w:lang w:val="fr-FR"/>
        </w:rPr>
        <w:t>TransCap</w:t>
      </w:r>
      <w:proofErr w:type="spellEnd"/>
      <w:r w:rsidRPr="007D6499">
        <w:rPr>
          <w:lang w:val="fr-FR"/>
        </w:rPr>
        <w:t xml:space="preserve"> offre une opportunité aux organisations qui n'étaient pas bénéficiaires des phases précédentes de PPI OSCAN ou qui ne sont pas émergentes de recevoir une subvention de l'UICN. Le programme a initialement financé 12 projets pour 1 an avec de petites subventions de 10 000 €. Les résultats ont montré que même avec un budget limité, les associations bien établies sur le terrain pouvaient mobiliser les parties prenantes locales et obtenir des résultats tangibles. </w:t>
      </w:r>
      <w:proofErr w:type="spellStart"/>
      <w:r w:rsidRPr="007D6499">
        <w:rPr>
          <w:lang w:val="fr-FR"/>
        </w:rPr>
        <w:t>TransCap</w:t>
      </w:r>
      <w:proofErr w:type="spellEnd"/>
      <w:r w:rsidRPr="007D6499">
        <w:rPr>
          <w:lang w:val="fr-FR"/>
        </w:rPr>
        <w:t xml:space="preserve"> 3, de 2023 à mai 2025, offre des subventions de 20 000 € à 6 projets. Les projets doivent être mis en œuvre dans une province marocaine ou un gouvernorat tunisien bordant la Méditerranée et démontrer un fort bénéfice socio-économique, en plus de leur contribution à la conservation de la biodiversité.</w:t>
      </w:r>
    </w:p>
    <w:p w14:paraId="0000005E" w14:textId="77777777" w:rsidR="005323CE" w:rsidRPr="007D6499" w:rsidRDefault="000403DB">
      <w:pPr>
        <w:spacing w:before="240" w:after="240"/>
        <w:rPr>
          <w:lang w:val="fr-FR"/>
        </w:rPr>
      </w:pPr>
      <w:r w:rsidRPr="007D6499">
        <w:rPr>
          <w:lang w:val="fr-FR"/>
        </w:rPr>
        <w:t>Accès en ligne à l'information sur :</w:t>
      </w:r>
    </w:p>
    <w:p w14:paraId="0000005F" w14:textId="77777777" w:rsidR="005323CE" w:rsidRPr="007D6499" w:rsidRDefault="000403DB">
      <w:pPr>
        <w:spacing w:before="240" w:after="240"/>
        <w:rPr>
          <w:color w:val="1155CC"/>
          <w:u w:val="single"/>
          <w:lang w:val="fr-FR"/>
        </w:rPr>
      </w:pPr>
      <w:r w:rsidRPr="007D6499">
        <w:rPr>
          <w:lang w:val="fr-FR"/>
        </w:rPr>
        <w:tab/>
        <w:t xml:space="preserve">IUCN </w:t>
      </w:r>
      <w:proofErr w:type="spellStart"/>
      <w:r w:rsidRPr="007D6499">
        <w:rPr>
          <w:lang w:val="fr-FR"/>
        </w:rPr>
        <w:t>Mediterranean</w:t>
      </w:r>
      <w:proofErr w:type="spellEnd"/>
      <w:r w:rsidRPr="007D6499">
        <w:rPr>
          <w:lang w:val="fr-FR"/>
        </w:rPr>
        <w:t>:</w:t>
      </w:r>
      <w:hyperlink r:id="rId15">
        <w:r w:rsidRPr="007D6499">
          <w:rPr>
            <w:lang w:val="fr-FR"/>
          </w:rPr>
          <w:t xml:space="preserve"> </w:t>
        </w:r>
      </w:hyperlink>
      <w:hyperlink r:id="rId16">
        <w:proofErr w:type="spellStart"/>
        <w:r w:rsidRPr="007D6499">
          <w:rPr>
            <w:color w:val="1155CC"/>
            <w:u w:val="single"/>
            <w:lang w:val="fr-FR"/>
          </w:rPr>
          <w:t>Mediterranean</w:t>
        </w:r>
        <w:proofErr w:type="spellEnd"/>
        <w:r w:rsidRPr="007D6499">
          <w:rPr>
            <w:color w:val="1155CC"/>
            <w:u w:val="single"/>
            <w:lang w:val="fr-FR"/>
          </w:rPr>
          <w:t xml:space="preserve"> | IUCN</w:t>
        </w:r>
      </w:hyperlink>
    </w:p>
    <w:p w14:paraId="00000060" w14:textId="77777777" w:rsidR="005323CE" w:rsidRPr="007D6499" w:rsidRDefault="000403DB">
      <w:pPr>
        <w:spacing w:before="240" w:after="240"/>
        <w:ind w:firstLine="720"/>
        <w:rPr>
          <w:color w:val="1155CC"/>
          <w:u w:val="single"/>
          <w:lang w:val="fr-FR"/>
        </w:rPr>
      </w:pPr>
      <w:r w:rsidRPr="007D6499">
        <w:rPr>
          <w:lang w:val="fr-FR"/>
        </w:rPr>
        <w:t>PPI OSCAN 1:</w:t>
      </w:r>
      <w:hyperlink r:id="rId17">
        <w:r w:rsidRPr="007D6499">
          <w:rPr>
            <w:lang w:val="fr-FR"/>
          </w:rPr>
          <w:t xml:space="preserve"> </w:t>
        </w:r>
      </w:hyperlink>
      <w:hyperlink r:id="rId18">
        <w:r w:rsidRPr="007D6499">
          <w:rPr>
            <w:color w:val="1155CC"/>
            <w:u w:val="single"/>
            <w:lang w:val="fr-FR"/>
          </w:rPr>
          <w:t>ppi-oscan_projects_FRENCH.pdf (mubadarat-uicn.org)</w:t>
        </w:r>
      </w:hyperlink>
    </w:p>
    <w:p w14:paraId="00000061" w14:textId="77777777" w:rsidR="005323CE" w:rsidRPr="007D6499" w:rsidRDefault="000403DB">
      <w:pPr>
        <w:spacing w:before="240" w:after="240"/>
        <w:rPr>
          <w:color w:val="1155CC"/>
          <w:u w:val="single"/>
          <w:lang w:val="fr-FR"/>
        </w:rPr>
      </w:pPr>
      <w:r w:rsidRPr="007D6499">
        <w:rPr>
          <w:lang w:val="fr-FR"/>
        </w:rPr>
        <w:t xml:space="preserve">          </w:t>
      </w:r>
      <w:r w:rsidRPr="007D6499">
        <w:rPr>
          <w:lang w:val="fr-FR"/>
        </w:rPr>
        <w:tab/>
        <w:t>PPI OSCAN 2:</w:t>
      </w:r>
      <w:hyperlink r:id="rId19">
        <w:r w:rsidRPr="007D6499">
          <w:rPr>
            <w:lang w:val="fr-FR"/>
          </w:rPr>
          <w:t xml:space="preserve"> </w:t>
        </w:r>
      </w:hyperlink>
      <w:hyperlink r:id="rId20">
        <w:r w:rsidRPr="007D6499">
          <w:rPr>
            <w:color w:val="1155CC"/>
            <w:u w:val="single"/>
            <w:lang w:val="fr-FR"/>
          </w:rPr>
          <w:t>PPI-OSCAN_frances_final-v.pdf (mubadarat-uicn.org)</w:t>
        </w:r>
      </w:hyperlink>
    </w:p>
    <w:p w14:paraId="00000062" w14:textId="77777777" w:rsidR="005323CE" w:rsidRPr="007D6499" w:rsidRDefault="000403DB">
      <w:pPr>
        <w:spacing w:before="240" w:after="240"/>
        <w:rPr>
          <w:color w:val="1155CC"/>
          <w:u w:val="single"/>
          <w:lang w:val="fr-FR"/>
        </w:rPr>
      </w:pPr>
      <w:r w:rsidRPr="007D6499">
        <w:rPr>
          <w:lang w:val="fr-FR"/>
        </w:rPr>
        <w:t xml:space="preserve">          </w:t>
      </w:r>
      <w:r w:rsidRPr="007D6499">
        <w:rPr>
          <w:lang w:val="fr-FR"/>
        </w:rPr>
        <w:tab/>
        <w:t>PPI OSCAN 3</w:t>
      </w:r>
      <w:hyperlink r:id="rId21">
        <w:r w:rsidRPr="007D6499">
          <w:rPr>
            <w:color w:val="1155CC"/>
            <w:u w:val="single"/>
            <w:lang w:val="fr-FR"/>
          </w:rPr>
          <w:t>mubadarat-uicn.org/</w:t>
        </w:r>
        <w:proofErr w:type="spellStart"/>
        <w:r w:rsidRPr="007D6499">
          <w:rPr>
            <w:color w:val="1155CC"/>
            <w:u w:val="single"/>
            <w:lang w:val="fr-FR"/>
          </w:rPr>
          <w:t>wp</w:t>
        </w:r>
        <w:proofErr w:type="spellEnd"/>
        <w:r w:rsidRPr="007D6499">
          <w:rPr>
            <w:color w:val="1155CC"/>
            <w:u w:val="single"/>
            <w:lang w:val="fr-FR"/>
          </w:rPr>
          <w:t>-content/</w:t>
        </w:r>
        <w:proofErr w:type="spellStart"/>
        <w:r w:rsidRPr="007D6499">
          <w:rPr>
            <w:color w:val="1155CC"/>
            <w:u w:val="single"/>
            <w:lang w:val="fr-FR"/>
          </w:rPr>
          <w:t>uploads</w:t>
        </w:r>
        <w:proofErr w:type="spellEnd"/>
        <w:r w:rsidRPr="007D6499">
          <w:rPr>
            <w:color w:val="1155CC"/>
            <w:u w:val="single"/>
            <w:lang w:val="fr-FR"/>
          </w:rPr>
          <w:t>/2023/05/PPI-OSCAN3_FR.pdf</w:t>
        </w:r>
      </w:hyperlink>
    </w:p>
    <w:p w14:paraId="00000063" w14:textId="77777777" w:rsidR="005323CE" w:rsidRPr="007D6499" w:rsidRDefault="000403DB">
      <w:pPr>
        <w:spacing w:before="240" w:after="240"/>
        <w:rPr>
          <w:color w:val="1155CC"/>
          <w:u w:val="single"/>
          <w:lang w:val="en-GB"/>
        </w:rPr>
      </w:pPr>
      <w:r w:rsidRPr="007D6499">
        <w:rPr>
          <w:lang w:val="fr-FR"/>
        </w:rPr>
        <w:t xml:space="preserve">          </w:t>
      </w:r>
      <w:r w:rsidRPr="007D6499">
        <w:rPr>
          <w:lang w:val="fr-FR"/>
        </w:rPr>
        <w:tab/>
      </w:r>
      <w:r w:rsidRPr="007D6499">
        <w:rPr>
          <w:lang w:val="en-GB"/>
        </w:rPr>
        <w:t>PPI Approach:</w:t>
      </w:r>
      <w:hyperlink r:id="rId22">
        <w:r w:rsidRPr="007D6499">
          <w:rPr>
            <w:lang w:val="en-GB"/>
          </w:rPr>
          <w:t xml:space="preserve"> </w:t>
        </w:r>
      </w:hyperlink>
      <w:hyperlink r:id="rId23">
        <w:r w:rsidRPr="007D6499">
          <w:rPr>
            <w:color w:val="1155CC"/>
            <w:u w:val="single"/>
            <w:lang w:val="en-GB"/>
          </w:rPr>
          <w:t>ppioscan.org/</w:t>
        </w:r>
        <w:proofErr w:type="spellStart"/>
        <w:r w:rsidRPr="007D6499">
          <w:rPr>
            <w:color w:val="1155CC"/>
            <w:u w:val="single"/>
            <w:lang w:val="en-GB"/>
          </w:rPr>
          <w:t>wp</w:t>
        </w:r>
        <w:proofErr w:type="spellEnd"/>
        <w:r w:rsidRPr="007D6499">
          <w:rPr>
            <w:color w:val="1155CC"/>
            <w:u w:val="single"/>
            <w:lang w:val="en-GB"/>
          </w:rPr>
          <w:t>-content/uploads/2018/10/UICN_PPI_FR_WEB.pdf</w:t>
        </w:r>
      </w:hyperlink>
    </w:p>
    <w:p w14:paraId="00000064" w14:textId="77777777" w:rsidR="005323CE" w:rsidRDefault="000403DB">
      <w:pPr>
        <w:spacing w:before="240" w:after="240"/>
        <w:rPr>
          <w:color w:val="1155CC"/>
          <w:u w:val="single"/>
        </w:rPr>
      </w:pPr>
      <w:r w:rsidRPr="007D6499">
        <w:rPr>
          <w:lang w:val="en-GB"/>
        </w:rPr>
        <w:t xml:space="preserve">          </w:t>
      </w:r>
      <w:r w:rsidRPr="007D6499">
        <w:rPr>
          <w:lang w:val="en-GB"/>
        </w:rPr>
        <w:tab/>
      </w:r>
      <w:proofErr w:type="spellStart"/>
      <w:r>
        <w:t>TransCap</w:t>
      </w:r>
      <w:proofErr w:type="spellEnd"/>
      <w:r>
        <w:t>:</w:t>
      </w:r>
      <w:hyperlink r:id="rId24">
        <w:r>
          <w:t xml:space="preserve"> </w:t>
        </w:r>
      </w:hyperlink>
      <w:hyperlink r:id="rId25">
        <w:r>
          <w:rPr>
            <w:color w:val="1155CC"/>
            <w:u w:val="single"/>
          </w:rPr>
          <w:t xml:space="preserve">Copia de </w:t>
        </w:r>
        <w:proofErr w:type="spellStart"/>
        <w:r>
          <w:rPr>
            <w:color w:val="1155CC"/>
            <w:u w:val="single"/>
          </w:rPr>
          <w:t>Brochure</w:t>
        </w:r>
        <w:proofErr w:type="spellEnd"/>
        <w:r>
          <w:rPr>
            <w:color w:val="1155CC"/>
            <w:u w:val="single"/>
          </w:rPr>
          <w:t xml:space="preserve"> </w:t>
        </w:r>
        <w:proofErr w:type="spellStart"/>
        <w:r>
          <w:rPr>
            <w:color w:val="1155CC"/>
            <w:u w:val="single"/>
          </w:rPr>
          <w:t>TransCap</w:t>
        </w:r>
        <w:proofErr w:type="spellEnd"/>
        <w:r>
          <w:rPr>
            <w:color w:val="1155CC"/>
            <w:u w:val="single"/>
          </w:rPr>
          <w:t xml:space="preserve"> (iucn.org)</w:t>
        </w:r>
      </w:hyperlink>
    </w:p>
    <w:p w14:paraId="00000065" w14:textId="77777777" w:rsidR="005323CE" w:rsidRPr="007D6499" w:rsidRDefault="000403DB">
      <w:pPr>
        <w:spacing w:before="240" w:after="240"/>
        <w:rPr>
          <w:color w:val="1155CC"/>
          <w:u w:val="single"/>
          <w:lang w:val="fr-FR"/>
        </w:rPr>
      </w:pPr>
      <w:r>
        <w:t xml:space="preserve">          </w:t>
      </w:r>
      <w:r>
        <w:tab/>
      </w:r>
      <w:proofErr w:type="spellStart"/>
      <w:proofErr w:type="gramStart"/>
      <w:r w:rsidRPr="007D6499">
        <w:rPr>
          <w:lang w:val="fr-FR"/>
        </w:rPr>
        <w:t>Mubadarat</w:t>
      </w:r>
      <w:proofErr w:type="spellEnd"/>
      <w:r w:rsidRPr="007D6499">
        <w:rPr>
          <w:lang w:val="fr-FR"/>
        </w:rPr>
        <w:t>:</w:t>
      </w:r>
      <w:proofErr w:type="gramEnd"/>
      <w:hyperlink r:id="rId26">
        <w:r w:rsidRPr="007D6499">
          <w:rPr>
            <w:lang w:val="fr-FR"/>
          </w:rPr>
          <w:t xml:space="preserve"> </w:t>
        </w:r>
      </w:hyperlink>
      <w:hyperlink r:id="rId27">
        <w:r w:rsidRPr="007D6499">
          <w:rPr>
            <w:color w:val="1155CC"/>
            <w:u w:val="single"/>
            <w:lang w:val="fr-FR"/>
          </w:rPr>
          <w:t>MUBADARAT – Appui à la Société Civile Nord-Africaine (mubadarat-uicn.org)</w:t>
        </w:r>
      </w:hyperlink>
    </w:p>
    <w:p w14:paraId="00000066" w14:textId="77777777" w:rsidR="005323CE" w:rsidRDefault="000403DB">
      <w:pPr>
        <w:spacing w:before="240" w:after="240"/>
        <w:rPr>
          <w:color w:val="1155CC"/>
          <w:u w:val="single"/>
        </w:rPr>
      </w:pPr>
      <w:r w:rsidRPr="007D6499">
        <w:rPr>
          <w:lang w:val="fr-FR"/>
        </w:rPr>
        <w:t xml:space="preserve">          </w:t>
      </w:r>
      <w:r w:rsidRPr="007D6499">
        <w:rPr>
          <w:lang w:val="fr-FR"/>
        </w:rPr>
        <w:tab/>
      </w:r>
      <w:r>
        <w:t>Social media:</w:t>
      </w:r>
      <w:hyperlink r:id="rId28">
        <w:r>
          <w:t xml:space="preserve"> </w:t>
        </w:r>
      </w:hyperlink>
      <w:hyperlink r:id="rId29">
        <w:r>
          <w:rPr>
            <w:color w:val="1155CC"/>
            <w:u w:val="single"/>
          </w:rPr>
          <w:t>Facebook PPI OSCAN</w:t>
        </w:r>
      </w:hyperlink>
      <w:r>
        <w:t xml:space="preserve">  </w:t>
      </w:r>
      <w:hyperlink r:id="rId30">
        <w:r>
          <w:rPr>
            <w:color w:val="1155CC"/>
            <w:u w:val="single"/>
          </w:rPr>
          <w:t xml:space="preserve">Facebook </w:t>
        </w:r>
        <w:proofErr w:type="spellStart"/>
        <w:r>
          <w:rPr>
            <w:color w:val="1155CC"/>
            <w:u w:val="single"/>
          </w:rPr>
          <w:t>TransCap</w:t>
        </w:r>
        <w:proofErr w:type="spellEnd"/>
      </w:hyperlink>
    </w:p>
    <w:p w14:paraId="00000067" w14:textId="77777777" w:rsidR="005323CE" w:rsidRDefault="005323CE">
      <w:pPr>
        <w:spacing w:before="240" w:after="240"/>
      </w:pPr>
    </w:p>
    <w:p w14:paraId="00000068" w14:textId="77777777" w:rsidR="005323CE" w:rsidRDefault="005323CE"/>
    <w:sectPr w:rsidR="005323CE" w:rsidSect="00ED50AF">
      <w:headerReference w:type="first" r:id="rId31"/>
      <w:pgSz w:w="11909" w:h="16834"/>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B4F9D" w14:textId="77777777" w:rsidR="003705DE" w:rsidRDefault="003705DE" w:rsidP="00ED50AF">
      <w:pPr>
        <w:spacing w:line="240" w:lineRule="auto"/>
      </w:pPr>
      <w:r>
        <w:separator/>
      </w:r>
    </w:p>
  </w:endnote>
  <w:endnote w:type="continuationSeparator" w:id="0">
    <w:p w14:paraId="730ADA23" w14:textId="77777777" w:rsidR="003705DE" w:rsidRDefault="003705DE" w:rsidP="00ED50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B35A1" w14:textId="77777777" w:rsidR="003705DE" w:rsidRDefault="003705DE" w:rsidP="00ED50AF">
      <w:pPr>
        <w:spacing w:line="240" w:lineRule="auto"/>
      </w:pPr>
      <w:r>
        <w:separator/>
      </w:r>
    </w:p>
  </w:footnote>
  <w:footnote w:type="continuationSeparator" w:id="0">
    <w:p w14:paraId="5585E5BA" w14:textId="77777777" w:rsidR="003705DE" w:rsidRDefault="003705DE" w:rsidP="00ED50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F2B88" w14:textId="045414A4" w:rsidR="00ED50AF" w:rsidRDefault="00ED50AF">
    <w:pPr>
      <w:pStyle w:val="Header"/>
    </w:pPr>
    <w:r>
      <w:rPr>
        <w:noProof/>
      </w:rPr>
      <w:drawing>
        <wp:anchor distT="0" distB="0" distL="114300" distR="114300" simplePos="0" relativeHeight="251659264" behindDoc="0" locked="0" layoutInCell="1" allowOverlap="1" wp14:anchorId="28A897A5" wp14:editId="30E00DBF">
          <wp:simplePos x="0" y="0"/>
          <wp:positionH relativeFrom="column">
            <wp:posOffset>0</wp:posOffset>
          </wp:positionH>
          <wp:positionV relativeFrom="paragraph">
            <wp:posOffset>121920</wp:posOffset>
          </wp:positionV>
          <wp:extent cx="853440" cy="853440"/>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 IUCN FRENCH &amp; SPANISH - No background (smaller).png"/>
                  <pic:cNvPicPr/>
                </pic:nvPicPr>
                <pic:blipFill>
                  <a:blip r:embed="rId1">
                    <a:extLst>
                      <a:ext uri="{28A0092B-C50C-407E-A947-70E740481C1C}">
                        <a14:useLocalDpi xmlns:a14="http://schemas.microsoft.com/office/drawing/2010/main" val="0"/>
                      </a:ext>
                    </a:extLst>
                  </a:blip>
                  <a:stretch>
                    <a:fillRect/>
                  </a:stretch>
                </pic:blipFill>
                <pic:spPr>
                  <a:xfrm>
                    <a:off x="0" y="0"/>
                    <a:ext cx="853440" cy="8534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530DD"/>
    <w:multiLevelType w:val="multilevel"/>
    <w:tmpl w:val="A03205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CF5E1E"/>
    <w:multiLevelType w:val="multilevel"/>
    <w:tmpl w:val="D23832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CE5150"/>
    <w:multiLevelType w:val="hybridMultilevel"/>
    <w:tmpl w:val="84E860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A153D94"/>
    <w:multiLevelType w:val="multilevel"/>
    <w:tmpl w:val="0F8018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E1A08F3"/>
    <w:multiLevelType w:val="multilevel"/>
    <w:tmpl w:val="F5E042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FDA1D2E"/>
    <w:multiLevelType w:val="hybridMultilevel"/>
    <w:tmpl w:val="FEB4CC42"/>
    <w:lvl w:ilvl="0" w:tplc="21BC6FD0">
      <w:numFmt w:val="bullet"/>
      <w:lvlText w:val="·"/>
      <w:lvlJc w:val="left"/>
      <w:pPr>
        <w:ind w:left="740" w:hanging="380"/>
      </w:pPr>
      <w:rPr>
        <w:rFonts w:ascii="Arial" w:eastAsia="Arial" w:hAnsi="Arial" w:cs="Aria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333CDE"/>
    <w:multiLevelType w:val="multilevel"/>
    <w:tmpl w:val="8642F6AE"/>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56AF3B6A"/>
    <w:multiLevelType w:val="multilevel"/>
    <w:tmpl w:val="3B8497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9DB53B1"/>
    <w:multiLevelType w:val="multilevel"/>
    <w:tmpl w:val="D9727B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D6C068D"/>
    <w:multiLevelType w:val="multilevel"/>
    <w:tmpl w:val="F46678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0"/>
  </w:num>
  <w:num w:numId="3">
    <w:abstractNumId w:val="3"/>
  </w:num>
  <w:num w:numId="4">
    <w:abstractNumId w:val="7"/>
  </w:num>
  <w:num w:numId="5">
    <w:abstractNumId w:val="1"/>
  </w:num>
  <w:num w:numId="6">
    <w:abstractNumId w:val="9"/>
  </w:num>
  <w:num w:numId="7">
    <w:abstractNumId w:val="4"/>
  </w:num>
  <w:num w:numId="8">
    <w:abstractNumId w:val="8"/>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3CE"/>
    <w:rsid w:val="000403DB"/>
    <w:rsid w:val="000C1BB6"/>
    <w:rsid w:val="00223C16"/>
    <w:rsid w:val="00244E2F"/>
    <w:rsid w:val="0027185B"/>
    <w:rsid w:val="002B34CB"/>
    <w:rsid w:val="003705DE"/>
    <w:rsid w:val="004569D6"/>
    <w:rsid w:val="005323CE"/>
    <w:rsid w:val="006A16B4"/>
    <w:rsid w:val="007D6499"/>
    <w:rsid w:val="008E4595"/>
    <w:rsid w:val="00920C2E"/>
    <w:rsid w:val="00A062A4"/>
    <w:rsid w:val="00B30FD4"/>
    <w:rsid w:val="00B84F64"/>
    <w:rsid w:val="00B90278"/>
    <w:rsid w:val="00C951E3"/>
    <w:rsid w:val="00E84CD0"/>
    <w:rsid w:val="00ED50AF"/>
    <w:rsid w:val="00FB32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67165"/>
  <w15:docId w15:val="{92BD3A38-8397-4EA7-8D60-73B49A75F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7D6499"/>
    <w:pPr>
      <w:ind w:left="720"/>
      <w:contextualSpacing/>
    </w:pPr>
  </w:style>
  <w:style w:type="character" w:styleId="Hyperlink">
    <w:name w:val="Hyperlink"/>
    <w:basedOn w:val="DefaultParagraphFont"/>
    <w:uiPriority w:val="99"/>
    <w:unhideWhenUsed/>
    <w:rsid w:val="002B34CB"/>
    <w:rPr>
      <w:color w:val="0000FF" w:themeColor="hyperlink"/>
      <w:u w:val="single"/>
    </w:rPr>
  </w:style>
  <w:style w:type="character" w:styleId="UnresolvedMention">
    <w:name w:val="Unresolved Mention"/>
    <w:basedOn w:val="DefaultParagraphFont"/>
    <w:uiPriority w:val="99"/>
    <w:semiHidden/>
    <w:unhideWhenUsed/>
    <w:rsid w:val="002B34CB"/>
    <w:rPr>
      <w:color w:val="605E5C"/>
      <w:shd w:val="clear" w:color="auto" w:fill="E1DFDD"/>
    </w:rPr>
  </w:style>
  <w:style w:type="paragraph" w:customStyle="1" w:styleId="pf0">
    <w:name w:val="pf0"/>
    <w:basedOn w:val="Normal"/>
    <w:rsid w:val="00B84F64"/>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cf01">
    <w:name w:val="cf01"/>
    <w:basedOn w:val="DefaultParagraphFont"/>
    <w:rsid w:val="00B84F64"/>
    <w:rPr>
      <w:rFonts w:ascii="Segoe UI" w:hAnsi="Segoe UI" w:cs="Segoe UI" w:hint="default"/>
      <w:sz w:val="18"/>
      <w:szCs w:val="18"/>
    </w:rPr>
  </w:style>
  <w:style w:type="paragraph" w:styleId="Header">
    <w:name w:val="header"/>
    <w:basedOn w:val="Normal"/>
    <w:link w:val="HeaderChar"/>
    <w:uiPriority w:val="99"/>
    <w:unhideWhenUsed/>
    <w:rsid w:val="00ED50AF"/>
    <w:pPr>
      <w:tabs>
        <w:tab w:val="center" w:pos="4513"/>
        <w:tab w:val="right" w:pos="9026"/>
      </w:tabs>
      <w:spacing w:line="240" w:lineRule="auto"/>
    </w:pPr>
  </w:style>
  <w:style w:type="character" w:customStyle="1" w:styleId="HeaderChar">
    <w:name w:val="Header Char"/>
    <w:basedOn w:val="DefaultParagraphFont"/>
    <w:link w:val="Header"/>
    <w:uiPriority w:val="99"/>
    <w:rsid w:val="00ED50AF"/>
  </w:style>
  <w:style w:type="paragraph" w:styleId="Footer">
    <w:name w:val="footer"/>
    <w:basedOn w:val="Normal"/>
    <w:link w:val="FooterChar"/>
    <w:uiPriority w:val="99"/>
    <w:unhideWhenUsed/>
    <w:rsid w:val="00ED50AF"/>
    <w:pPr>
      <w:tabs>
        <w:tab w:val="center" w:pos="4513"/>
        <w:tab w:val="right" w:pos="9026"/>
      </w:tabs>
      <w:spacing w:line="240" w:lineRule="auto"/>
    </w:pPr>
  </w:style>
  <w:style w:type="character" w:customStyle="1" w:styleId="FooterChar">
    <w:name w:val="Footer Char"/>
    <w:basedOn w:val="DefaultParagraphFont"/>
    <w:link w:val="Footer"/>
    <w:uiPriority w:val="99"/>
    <w:rsid w:val="00ED5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125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ppioscan.org/wp-content/uploads/2018/10/UICN_PPI_FR_WEB.pdf" TargetMode="External"/><Relationship Id="rId18" Type="http://schemas.openxmlformats.org/officeDocument/2006/relationships/hyperlink" Target="https://mubadarat-uicn.org/wp-content/uploads/2023/12/ppi-oscan_projects_FRENCH.pdf" TargetMode="External"/><Relationship Id="rId26" Type="http://schemas.openxmlformats.org/officeDocument/2006/relationships/hyperlink" Target="https://mubadarat-uicn.org/en/" TargetMode="External"/><Relationship Id="rId3" Type="http://schemas.openxmlformats.org/officeDocument/2006/relationships/settings" Target="settings.xml"/><Relationship Id="rId21" Type="http://schemas.openxmlformats.org/officeDocument/2006/relationships/hyperlink" Target="https://mubadarat-uicn.org/wp-content/uploads/2023/05/PPI-OSCAN3_FR.pdf" TargetMode="External"/><Relationship Id="rId7" Type="http://schemas.openxmlformats.org/officeDocument/2006/relationships/hyperlink" Target="https://mubadarat-uicn.org" TargetMode="External"/><Relationship Id="rId12" Type="http://schemas.openxmlformats.org/officeDocument/2006/relationships/hyperlink" Target="https://mubadarat-uicn.org/en/" TargetMode="External"/><Relationship Id="rId17" Type="http://schemas.openxmlformats.org/officeDocument/2006/relationships/hyperlink" Target="https://mubadarat-uicn.org/wp-content/uploads/2023/12/ppi-oscan_projects_FRENCH.pdf" TargetMode="External"/><Relationship Id="rId25" Type="http://schemas.openxmlformats.org/officeDocument/2006/relationships/hyperlink" Target="https://www.iucn.org/sites/default/files/2024-01/brochure-transcap_small.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iucn.org/our-work/region/mediterranean" TargetMode="External"/><Relationship Id="rId20" Type="http://schemas.openxmlformats.org/officeDocument/2006/relationships/hyperlink" Target="https://mubadarat-uicn.org/wp-content/uploads/2023/12/PPI-OSCAN_frances_final-v.pdf" TargetMode="External"/><Relationship Id="rId29" Type="http://schemas.openxmlformats.org/officeDocument/2006/relationships/hyperlink" Target="https://www.facebook.com/ppiosca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ubadarat-uicn.org/en/" TargetMode="External"/><Relationship Id="rId24" Type="http://schemas.openxmlformats.org/officeDocument/2006/relationships/hyperlink" Target="https://www.iucn.org/sites/default/files/2024-01/brochure-transcap_small.pdf"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iucn.org/our-work/region/mediterranean" TargetMode="External"/><Relationship Id="rId23" Type="http://schemas.openxmlformats.org/officeDocument/2006/relationships/hyperlink" Target="https://www.ppioscan.org/wp-content/uploads/2018/10/UICN_PPI_FR_WEB.pdf" TargetMode="External"/><Relationship Id="rId28" Type="http://schemas.openxmlformats.org/officeDocument/2006/relationships/hyperlink" Target="https://www.facebook.com/ppioscan" TargetMode="External"/><Relationship Id="rId10" Type="http://schemas.openxmlformats.org/officeDocument/2006/relationships/hyperlink" Target="mailto:helene.willem@iucn.org" TargetMode="External"/><Relationship Id="rId19" Type="http://schemas.openxmlformats.org/officeDocument/2006/relationships/hyperlink" Target="https://mubadarat-uicn.org/wp-content/uploads/2023/12/PPI-OSCAN_frances_final-v.pdf"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uicnmed@iucn.org" TargetMode="External"/><Relationship Id="rId14" Type="http://schemas.openxmlformats.org/officeDocument/2006/relationships/hyperlink" Target="https://www.ppioscan.org/wp-content/uploads/2018/10/UICN_PPI_FR_WEB.pdf" TargetMode="External"/><Relationship Id="rId22" Type="http://schemas.openxmlformats.org/officeDocument/2006/relationships/hyperlink" Target="https://www.ppioscan.org/wp-content/uploads/2018/10/UICN_PPI_FR_WEB.pdf" TargetMode="External"/><Relationship Id="rId27" Type="http://schemas.openxmlformats.org/officeDocument/2006/relationships/hyperlink" Target="https://mubadarat-uicn.org/en/" TargetMode="External"/><Relationship Id="rId30" Type="http://schemas.openxmlformats.org/officeDocument/2006/relationships/hyperlink" Target="https://www.facebook.com/profile.php?id=100083228893695" TargetMode="External"/><Relationship Id="rId8" Type="http://schemas.openxmlformats.org/officeDocument/2006/relationships/hyperlink" Target="https://www.iucn.org/fr/node/3223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8</Pages>
  <Words>3325</Words>
  <Characters>18954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22235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RICHE Talia</cp:lastModifiedBy>
  <cp:revision>4</cp:revision>
  <dcterms:created xsi:type="dcterms:W3CDTF">2024-03-27T10:49:00Z</dcterms:created>
  <dcterms:modified xsi:type="dcterms:W3CDTF">2024-04-01T09:44:00Z</dcterms:modified>
</cp:coreProperties>
</file>