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1E" w:rsidRPr="00114D1E" w:rsidRDefault="00D11FF8" w:rsidP="00547611">
      <w:pPr>
        <w:jc w:val="center"/>
        <w:rPr>
          <w:rFonts w:ascii="Century Gothic" w:hAnsi="Century Gothic"/>
          <w:sz w:val="40"/>
          <w:szCs w:val="52"/>
          <w:lang w:val="fr-BE"/>
        </w:rPr>
      </w:pPr>
      <w:bookmarkStart w:id="0" w:name="_GoBack"/>
      <w:bookmarkEnd w:id="0"/>
      <w:r>
        <w:rPr>
          <w:rFonts w:ascii="Century Gothic" w:hAnsi="Century Gothic"/>
          <w:b/>
          <w:sz w:val="52"/>
          <w:szCs w:val="52"/>
          <w:lang w:val="fr-BE"/>
        </w:rPr>
        <w:t>Identification et a</w:t>
      </w:r>
      <w:r w:rsidR="00114D1E" w:rsidRPr="00114D1E">
        <w:rPr>
          <w:rFonts w:ascii="Century Gothic" w:hAnsi="Century Gothic"/>
          <w:b/>
          <w:sz w:val="52"/>
          <w:szCs w:val="52"/>
          <w:lang w:val="fr-BE"/>
        </w:rPr>
        <w:t>tténuation de l’impact des infrastructures électriques</w:t>
      </w:r>
      <w:r w:rsidR="00114D1E">
        <w:rPr>
          <w:rFonts w:ascii="Century Gothic" w:hAnsi="Century Gothic"/>
          <w:b/>
          <w:sz w:val="52"/>
          <w:szCs w:val="52"/>
          <w:lang w:val="fr-BE"/>
        </w:rPr>
        <w:t xml:space="preserve"> sur l</w:t>
      </w:r>
      <w:r>
        <w:rPr>
          <w:rFonts w:ascii="Century Gothic" w:hAnsi="Century Gothic"/>
          <w:b/>
          <w:sz w:val="52"/>
          <w:szCs w:val="52"/>
          <w:lang w:val="fr-BE"/>
        </w:rPr>
        <w:t>’avifaune en Tunisie</w:t>
      </w:r>
      <w:r w:rsidR="00114D1E">
        <w:rPr>
          <w:rFonts w:ascii="Century Gothic" w:hAnsi="Century Gothic"/>
          <w:b/>
          <w:sz w:val="52"/>
          <w:szCs w:val="52"/>
          <w:lang w:val="fr-BE"/>
        </w:rPr>
        <w:t xml:space="preserve"> </w:t>
      </w:r>
    </w:p>
    <w:p w:rsidR="00536FCE" w:rsidRPr="00114D1E" w:rsidRDefault="00536FCE" w:rsidP="00733273">
      <w:pPr>
        <w:jc w:val="right"/>
        <w:rPr>
          <w:rFonts w:ascii="Century Gothic" w:hAnsi="Century Gothic"/>
          <w:sz w:val="44"/>
          <w:szCs w:val="64"/>
          <w:lang w:val="fr-BE"/>
        </w:rPr>
      </w:pPr>
    </w:p>
    <w:p w:rsidR="00114D1E" w:rsidRPr="00114D1E" w:rsidRDefault="006A7A91" w:rsidP="00536FCE">
      <w:pPr>
        <w:jc w:val="center"/>
        <w:rPr>
          <w:rFonts w:ascii="Century Gothic" w:hAnsi="Century Gothic"/>
          <w:b/>
          <w:color w:val="E36C0A" w:themeColor="accent6" w:themeShade="BF"/>
          <w:sz w:val="40"/>
          <w:u w:val="single"/>
          <w:lang w:val="fr-BE"/>
        </w:rPr>
      </w:pPr>
      <w:r>
        <w:rPr>
          <w:rFonts w:ascii="Century Gothic" w:hAnsi="Century Gothic"/>
          <w:b/>
          <w:color w:val="E36C0A" w:themeColor="accent6" w:themeShade="BF"/>
          <w:sz w:val="40"/>
          <w:u w:val="single"/>
          <w:lang w:val="fr-BE"/>
        </w:rPr>
        <w:t>Descrip</w:t>
      </w:r>
      <w:r w:rsidR="00D11FF8">
        <w:rPr>
          <w:rFonts w:ascii="Century Gothic" w:hAnsi="Century Gothic"/>
          <w:b/>
          <w:color w:val="E36C0A" w:themeColor="accent6" w:themeShade="BF"/>
          <w:sz w:val="40"/>
          <w:u w:val="single"/>
          <w:lang w:val="fr-BE"/>
        </w:rPr>
        <w:t>tion d’atelier</w:t>
      </w:r>
    </w:p>
    <w:p w:rsidR="00547611" w:rsidRPr="00114D1E" w:rsidRDefault="00547611" w:rsidP="00536FCE">
      <w:pPr>
        <w:jc w:val="center"/>
        <w:rPr>
          <w:rFonts w:ascii="Century Gothic" w:hAnsi="Century Gothic"/>
          <w:color w:val="E36C0A" w:themeColor="accent6" w:themeShade="BF"/>
          <w:sz w:val="32"/>
          <w:lang w:val="fr-BE"/>
        </w:rPr>
      </w:pPr>
    </w:p>
    <w:p w:rsidR="00D11FF8" w:rsidRDefault="00D11FF8" w:rsidP="00536FCE">
      <w:pPr>
        <w:jc w:val="center"/>
        <w:rPr>
          <w:rFonts w:ascii="Century Gothic" w:hAnsi="Century Gothic"/>
          <w:color w:val="E36C0A" w:themeColor="accent6" w:themeShade="BF"/>
          <w:sz w:val="32"/>
          <w:lang w:val="fr-BE"/>
        </w:rPr>
      </w:pPr>
    </w:p>
    <w:p w:rsidR="00547611" w:rsidRPr="00114D1E" w:rsidRDefault="00547611" w:rsidP="00536FCE">
      <w:pPr>
        <w:jc w:val="center"/>
        <w:rPr>
          <w:rFonts w:ascii="Century Gothic" w:hAnsi="Century Gothic"/>
          <w:color w:val="E36C0A" w:themeColor="accent6" w:themeShade="BF"/>
          <w:sz w:val="32"/>
          <w:lang w:val="fr-BE"/>
        </w:rPr>
      </w:pPr>
      <w:r>
        <w:rPr>
          <w:noProof/>
          <w:lang w:val="es-ES_tradnl" w:eastAsia="es-ES_tradnl"/>
        </w:rPr>
        <w:drawing>
          <wp:anchor distT="0" distB="0" distL="114300" distR="114300" simplePos="0" relativeHeight="251657728" behindDoc="1" locked="0" layoutInCell="1" allowOverlap="1" wp14:anchorId="242C04E6" wp14:editId="47C4AF37">
            <wp:simplePos x="0" y="0"/>
            <wp:positionH relativeFrom="margin">
              <wp:posOffset>1453515</wp:posOffset>
            </wp:positionH>
            <wp:positionV relativeFrom="margin">
              <wp:posOffset>2378710</wp:posOffset>
            </wp:positionV>
            <wp:extent cx="3114675" cy="4090035"/>
            <wp:effectExtent l="0" t="0" r="9525" b="5715"/>
            <wp:wrapThrough wrapText="bothSides">
              <wp:wrapPolygon edited="0">
                <wp:start x="0" y="0"/>
                <wp:lineTo x="0" y="21530"/>
                <wp:lineTo x="21534" y="21530"/>
                <wp:lineTo x="21534" y="0"/>
                <wp:lineTo x="0" y="0"/>
              </wp:wrapPolygon>
            </wp:wrapThrough>
            <wp:docPr id="5" name="Picture 5" descr="http://rrrcn.ru/wp-content/uploads/2012/04/IMG_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rrcn.ru/wp-content/uploads/2012/04/IMG_10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4090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FCE" w:rsidRPr="00114D1E" w:rsidRDefault="00536FCE" w:rsidP="00733273">
      <w:pPr>
        <w:jc w:val="right"/>
        <w:rPr>
          <w:rFonts w:ascii="Arial" w:hAnsi="Arial" w:cs="Arial"/>
          <w:sz w:val="22"/>
          <w:lang w:val="fr-BE" w:eastAsia="en-GB"/>
        </w:rPr>
      </w:pPr>
    </w:p>
    <w:p w:rsidR="009B038C" w:rsidRPr="00114D1E" w:rsidRDefault="009B038C" w:rsidP="0074563A">
      <w:pPr>
        <w:jc w:val="both"/>
        <w:rPr>
          <w:rFonts w:ascii="Arial" w:hAnsi="Arial" w:cs="Arial"/>
          <w:lang w:val="fr-BE" w:eastAsia="en-GB"/>
        </w:rPr>
      </w:pPr>
    </w:p>
    <w:p w:rsidR="009B038C" w:rsidRPr="00114D1E" w:rsidRDefault="009B038C" w:rsidP="0074563A">
      <w:pPr>
        <w:jc w:val="both"/>
        <w:rPr>
          <w:rFonts w:ascii="Arial" w:hAnsi="Arial" w:cs="Arial"/>
          <w:lang w:val="fr-BE" w:eastAsia="en-GB"/>
        </w:rPr>
      </w:pPr>
    </w:p>
    <w:p w:rsidR="009B038C" w:rsidRPr="00114D1E" w:rsidRDefault="009B038C" w:rsidP="0074563A">
      <w:pPr>
        <w:jc w:val="both"/>
        <w:rPr>
          <w:rFonts w:ascii="Arial" w:hAnsi="Arial" w:cs="Arial"/>
          <w:lang w:val="fr-BE" w:eastAsia="en-GB"/>
        </w:rPr>
      </w:pPr>
    </w:p>
    <w:p w:rsidR="006A523D" w:rsidRPr="00114D1E" w:rsidRDefault="006A523D"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733273" w:rsidRPr="00114D1E" w:rsidRDefault="00733273" w:rsidP="0074563A">
      <w:pPr>
        <w:jc w:val="both"/>
        <w:rPr>
          <w:rFonts w:ascii="Arial" w:hAnsi="Arial" w:cs="Arial"/>
          <w:lang w:val="fr-BE" w:eastAsia="en-GB"/>
        </w:rPr>
      </w:pPr>
    </w:p>
    <w:p w:rsidR="00733273" w:rsidRPr="00114D1E" w:rsidRDefault="00733273" w:rsidP="0074563A">
      <w:pPr>
        <w:jc w:val="both"/>
        <w:rPr>
          <w:rFonts w:ascii="Arial" w:hAnsi="Arial" w:cs="Arial"/>
          <w:lang w:val="fr-BE" w:eastAsia="en-GB"/>
        </w:rPr>
      </w:pPr>
    </w:p>
    <w:p w:rsidR="00733273" w:rsidRPr="00114D1E" w:rsidRDefault="00733273" w:rsidP="0074563A">
      <w:pPr>
        <w:jc w:val="both"/>
        <w:rPr>
          <w:rFonts w:ascii="Arial" w:hAnsi="Arial" w:cs="Arial"/>
          <w:lang w:val="fr-BE" w:eastAsia="en-GB"/>
        </w:rPr>
      </w:pPr>
    </w:p>
    <w:p w:rsidR="006A523D" w:rsidRPr="00114D1E" w:rsidRDefault="006A523D" w:rsidP="0074563A">
      <w:pPr>
        <w:jc w:val="both"/>
        <w:rPr>
          <w:rFonts w:ascii="Arial" w:hAnsi="Arial" w:cs="Arial"/>
          <w:lang w:val="fr-BE" w:eastAsia="en-GB"/>
        </w:rPr>
      </w:pPr>
    </w:p>
    <w:p w:rsidR="00733273" w:rsidRPr="00114D1E" w:rsidRDefault="00733273" w:rsidP="0074563A">
      <w:pPr>
        <w:jc w:val="both"/>
        <w:rPr>
          <w:rFonts w:ascii="Arial" w:hAnsi="Arial" w:cs="Arial"/>
          <w:lang w:val="fr-BE" w:eastAsia="en-GB"/>
        </w:rPr>
      </w:pPr>
    </w:p>
    <w:p w:rsidR="00FE067C" w:rsidRPr="00114D1E" w:rsidRDefault="00FE067C" w:rsidP="0074563A">
      <w:pPr>
        <w:jc w:val="both"/>
        <w:rPr>
          <w:rFonts w:ascii="Arial" w:hAnsi="Arial" w:cs="Arial"/>
          <w:lang w:val="fr-BE" w:eastAsia="en-GB"/>
        </w:rPr>
      </w:pPr>
    </w:p>
    <w:p w:rsidR="00547611" w:rsidRPr="00114D1E" w:rsidRDefault="00547611" w:rsidP="00FE067C">
      <w:pPr>
        <w:jc w:val="both"/>
        <w:rPr>
          <w:rFonts w:ascii="Arial Narrow" w:hAnsi="Arial Narrow" w:cs="Arial"/>
          <w:sz w:val="22"/>
          <w:szCs w:val="22"/>
          <w:lang w:val="fr-BE"/>
        </w:rPr>
      </w:pPr>
    </w:p>
    <w:p w:rsidR="00547611" w:rsidRPr="00114D1E" w:rsidRDefault="00547611" w:rsidP="00FE067C">
      <w:pPr>
        <w:jc w:val="both"/>
        <w:rPr>
          <w:rFonts w:ascii="Arial Narrow" w:hAnsi="Arial Narrow" w:cs="Arial"/>
          <w:sz w:val="22"/>
          <w:szCs w:val="22"/>
          <w:lang w:val="fr-BE"/>
        </w:rPr>
      </w:pPr>
    </w:p>
    <w:p w:rsidR="00114D1E" w:rsidRPr="00114D1E" w:rsidRDefault="00114D1E" w:rsidP="00FE067C">
      <w:pPr>
        <w:jc w:val="both"/>
        <w:rPr>
          <w:rFonts w:ascii="Arial Narrow" w:hAnsi="Arial Narrow" w:cs="Arial"/>
          <w:szCs w:val="22"/>
          <w:lang w:val="fr-BE" w:eastAsia="en-GB"/>
        </w:rPr>
      </w:pPr>
      <w:r w:rsidRPr="00114D1E">
        <w:rPr>
          <w:rFonts w:ascii="Arial Narrow" w:hAnsi="Arial Narrow" w:cs="Arial"/>
          <w:szCs w:val="22"/>
          <w:lang w:val="fr-BE" w:eastAsia="en-GB"/>
        </w:rPr>
        <w:t>Les lignes électriq</w:t>
      </w:r>
      <w:r>
        <w:rPr>
          <w:rFonts w:ascii="Arial Narrow" w:hAnsi="Arial Narrow" w:cs="Arial"/>
          <w:szCs w:val="22"/>
          <w:lang w:val="fr-BE" w:eastAsia="en-GB"/>
        </w:rPr>
        <w:t>u</w:t>
      </w:r>
      <w:r w:rsidRPr="00114D1E">
        <w:rPr>
          <w:rFonts w:ascii="Arial Narrow" w:hAnsi="Arial Narrow" w:cs="Arial"/>
          <w:szCs w:val="22"/>
          <w:lang w:val="fr-BE" w:eastAsia="en-GB"/>
        </w:rPr>
        <w:t xml:space="preserve">es, éléments </w:t>
      </w:r>
      <w:r>
        <w:rPr>
          <w:rFonts w:ascii="Arial Narrow" w:hAnsi="Arial Narrow" w:cs="Arial"/>
          <w:szCs w:val="22"/>
          <w:lang w:val="fr-BE" w:eastAsia="en-GB"/>
        </w:rPr>
        <w:t>toujours plus fréquent dans le paysage, sont fondamentales pour le développement de nos sociétés. Cependant, quand ces infrastructures ne tiennent pas compte de certains processus écologiques, celle</w:t>
      </w:r>
      <w:r w:rsidR="00821525">
        <w:rPr>
          <w:rFonts w:ascii="Arial Narrow" w:hAnsi="Arial Narrow" w:cs="Arial"/>
          <w:szCs w:val="22"/>
          <w:lang w:val="fr-BE" w:eastAsia="en-GB"/>
        </w:rPr>
        <w:t>s</w:t>
      </w:r>
      <w:r>
        <w:rPr>
          <w:rFonts w:ascii="Arial Narrow" w:hAnsi="Arial Narrow" w:cs="Arial"/>
          <w:szCs w:val="22"/>
          <w:lang w:val="fr-BE" w:eastAsia="en-GB"/>
        </w:rPr>
        <w:t xml:space="preserve">-ci peuvent </w:t>
      </w:r>
      <w:r w:rsidR="00564BAA">
        <w:rPr>
          <w:rFonts w:ascii="Arial Narrow" w:hAnsi="Arial Narrow" w:cs="Arial"/>
          <w:szCs w:val="22"/>
          <w:lang w:val="fr-BE" w:eastAsia="en-GB"/>
        </w:rPr>
        <w:t>causer</w:t>
      </w:r>
      <w:r>
        <w:rPr>
          <w:rFonts w:ascii="Arial Narrow" w:hAnsi="Arial Narrow" w:cs="Arial"/>
          <w:szCs w:val="22"/>
          <w:lang w:val="fr-BE" w:eastAsia="en-GB"/>
        </w:rPr>
        <w:t xml:space="preserve"> des </w:t>
      </w:r>
      <w:r w:rsidR="00564BAA">
        <w:rPr>
          <w:rFonts w:ascii="Arial Narrow" w:hAnsi="Arial Narrow" w:cs="Arial"/>
          <w:szCs w:val="22"/>
          <w:lang w:val="fr-BE" w:eastAsia="en-GB"/>
        </w:rPr>
        <w:t xml:space="preserve">impacts divers et importants sur </w:t>
      </w:r>
      <w:r>
        <w:rPr>
          <w:rFonts w:ascii="Arial Narrow" w:hAnsi="Arial Narrow" w:cs="Arial"/>
          <w:szCs w:val="22"/>
          <w:lang w:val="fr-BE" w:eastAsia="en-GB"/>
        </w:rPr>
        <w:t>l’e</w:t>
      </w:r>
      <w:r w:rsidR="00564BAA">
        <w:rPr>
          <w:rFonts w:ascii="Arial Narrow" w:hAnsi="Arial Narrow" w:cs="Arial"/>
          <w:szCs w:val="22"/>
          <w:lang w:val="fr-BE" w:eastAsia="en-GB"/>
        </w:rPr>
        <w:t>nvironnement, en particulier</w:t>
      </w:r>
      <w:r w:rsidR="00B93010">
        <w:rPr>
          <w:rFonts w:ascii="Arial Narrow" w:hAnsi="Arial Narrow" w:cs="Arial"/>
          <w:szCs w:val="22"/>
          <w:lang w:val="fr-BE" w:eastAsia="en-GB"/>
        </w:rPr>
        <w:t xml:space="preserve"> sur</w:t>
      </w:r>
      <w:r w:rsidR="00564BAA" w:rsidRPr="00C82B5B">
        <w:rPr>
          <w:rFonts w:ascii="Arial Narrow" w:hAnsi="Arial Narrow" w:cs="Arial"/>
          <w:color w:val="FF0000"/>
          <w:szCs w:val="22"/>
          <w:lang w:val="fr-BE" w:eastAsia="en-GB"/>
        </w:rPr>
        <w:t xml:space="preserve"> </w:t>
      </w:r>
      <w:r w:rsidR="00564BAA">
        <w:rPr>
          <w:rFonts w:ascii="Arial Narrow" w:hAnsi="Arial Narrow" w:cs="Arial"/>
          <w:szCs w:val="22"/>
          <w:lang w:val="fr-BE" w:eastAsia="en-GB"/>
        </w:rPr>
        <w:t>l’avifaune. Ces dernières années</w:t>
      </w:r>
      <w:r w:rsidR="00564BAA" w:rsidRPr="00B93010">
        <w:rPr>
          <w:rFonts w:ascii="Arial Narrow" w:hAnsi="Arial Narrow" w:cs="Arial"/>
          <w:szCs w:val="22"/>
          <w:lang w:val="fr-BE" w:eastAsia="en-GB"/>
        </w:rPr>
        <w:t xml:space="preserve">, </w:t>
      </w:r>
      <w:r w:rsidR="00B93010" w:rsidRPr="00B93010">
        <w:rPr>
          <w:rFonts w:ascii="Arial Narrow" w:hAnsi="Arial Narrow" w:cs="Arial"/>
          <w:szCs w:val="22"/>
          <w:lang w:val="fr-BE" w:eastAsia="en-GB"/>
        </w:rPr>
        <w:t>le secteur</w:t>
      </w:r>
      <w:r w:rsidR="00564BAA" w:rsidRPr="00B93010">
        <w:rPr>
          <w:rFonts w:ascii="Arial Narrow" w:hAnsi="Arial Narrow" w:cs="Arial"/>
          <w:szCs w:val="22"/>
          <w:lang w:val="fr-BE" w:eastAsia="en-GB"/>
        </w:rPr>
        <w:t xml:space="preserve"> </w:t>
      </w:r>
      <w:r w:rsidR="00D11FF8">
        <w:rPr>
          <w:rFonts w:ascii="Arial Narrow" w:hAnsi="Arial Narrow" w:cs="Arial"/>
          <w:szCs w:val="22"/>
          <w:lang w:val="fr-BE" w:eastAsia="en-GB"/>
        </w:rPr>
        <w:t>énergétique</w:t>
      </w:r>
      <w:r w:rsidR="00564BAA" w:rsidRPr="00B93010">
        <w:rPr>
          <w:rFonts w:ascii="Arial Narrow" w:hAnsi="Arial Narrow" w:cs="Arial"/>
          <w:szCs w:val="22"/>
          <w:lang w:val="fr-BE" w:eastAsia="en-GB"/>
        </w:rPr>
        <w:t xml:space="preserve">, les </w:t>
      </w:r>
      <w:r w:rsidR="00564BAA">
        <w:rPr>
          <w:rFonts w:ascii="Arial Narrow" w:hAnsi="Arial Narrow" w:cs="Arial"/>
          <w:szCs w:val="22"/>
          <w:lang w:val="fr-BE" w:eastAsia="en-GB"/>
        </w:rPr>
        <w:t>gouvernements et les organisations de conservation ont uni leurs efforts, créant des synergies pour trouver des solutions à ces problèmes, à la recherche d’un équilibre entre progrès et cons</w:t>
      </w:r>
      <w:r w:rsidR="00D11FF8">
        <w:rPr>
          <w:rFonts w:ascii="Arial Narrow" w:hAnsi="Arial Narrow" w:cs="Arial"/>
          <w:szCs w:val="22"/>
          <w:lang w:val="fr-BE" w:eastAsia="en-GB"/>
        </w:rPr>
        <w:t xml:space="preserve">ervation de la biodiversité. Cet atelier </w:t>
      </w:r>
      <w:r w:rsidR="00564BAA">
        <w:rPr>
          <w:rFonts w:ascii="Arial Narrow" w:hAnsi="Arial Narrow" w:cs="Arial"/>
          <w:szCs w:val="22"/>
          <w:lang w:val="fr-BE" w:eastAsia="en-GB"/>
        </w:rPr>
        <w:t xml:space="preserve">théorique et pratique cherche à promouvoir des mesures d’atténuation de l’impact des </w:t>
      </w:r>
      <w:r w:rsidR="00564BAA" w:rsidRPr="00114D1E">
        <w:rPr>
          <w:rFonts w:ascii="Arial Narrow" w:hAnsi="Arial Narrow" w:cs="Arial"/>
          <w:szCs w:val="22"/>
          <w:lang w:val="fr-BE" w:eastAsia="en-GB"/>
        </w:rPr>
        <w:t>lignes électriq</w:t>
      </w:r>
      <w:r w:rsidR="00564BAA">
        <w:rPr>
          <w:rFonts w:ascii="Arial Narrow" w:hAnsi="Arial Narrow" w:cs="Arial"/>
          <w:szCs w:val="22"/>
          <w:lang w:val="fr-BE" w:eastAsia="en-GB"/>
        </w:rPr>
        <w:t>u</w:t>
      </w:r>
      <w:r w:rsidR="00564BAA" w:rsidRPr="00114D1E">
        <w:rPr>
          <w:rFonts w:ascii="Arial Narrow" w:hAnsi="Arial Narrow" w:cs="Arial"/>
          <w:szCs w:val="22"/>
          <w:lang w:val="fr-BE" w:eastAsia="en-GB"/>
        </w:rPr>
        <w:t>es</w:t>
      </w:r>
      <w:r w:rsidR="00564BAA">
        <w:rPr>
          <w:rFonts w:ascii="Arial Narrow" w:hAnsi="Arial Narrow" w:cs="Arial"/>
          <w:szCs w:val="22"/>
          <w:lang w:val="fr-BE" w:eastAsia="en-GB"/>
        </w:rPr>
        <w:t xml:space="preserve"> sur l</w:t>
      </w:r>
      <w:r w:rsidR="00D11FF8">
        <w:rPr>
          <w:rFonts w:ascii="Arial Narrow" w:hAnsi="Arial Narrow" w:cs="Arial"/>
          <w:szCs w:val="22"/>
          <w:lang w:val="fr-BE" w:eastAsia="en-GB"/>
        </w:rPr>
        <w:t>’avifaune</w:t>
      </w:r>
      <w:r w:rsidR="00C82B5B">
        <w:rPr>
          <w:rFonts w:ascii="Arial Narrow" w:hAnsi="Arial Narrow" w:cs="Arial"/>
          <w:szCs w:val="22"/>
          <w:lang w:val="fr-BE" w:eastAsia="en-GB"/>
        </w:rPr>
        <w:t>, au</w:t>
      </w:r>
      <w:r w:rsidR="00564BAA">
        <w:rPr>
          <w:rFonts w:ascii="Arial Narrow" w:hAnsi="Arial Narrow" w:cs="Arial"/>
          <w:szCs w:val="22"/>
          <w:lang w:val="fr-BE" w:eastAsia="en-GB"/>
        </w:rPr>
        <w:t xml:space="preserve"> travers</w:t>
      </w:r>
      <w:r w:rsidR="00C82B5B">
        <w:rPr>
          <w:rFonts w:ascii="Arial Narrow" w:hAnsi="Arial Narrow" w:cs="Arial"/>
          <w:szCs w:val="22"/>
          <w:lang w:val="fr-BE" w:eastAsia="en-GB"/>
        </w:rPr>
        <w:t xml:space="preserve"> du</w:t>
      </w:r>
      <w:r w:rsidR="00564BAA">
        <w:rPr>
          <w:rFonts w:ascii="Arial Narrow" w:hAnsi="Arial Narrow" w:cs="Arial"/>
          <w:szCs w:val="22"/>
          <w:lang w:val="fr-BE" w:eastAsia="en-GB"/>
        </w:rPr>
        <w:t xml:space="preserve"> transfert des </w:t>
      </w:r>
      <w:r w:rsidR="00C82B5B">
        <w:rPr>
          <w:rFonts w:ascii="Arial Narrow" w:hAnsi="Arial Narrow" w:cs="Arial"/>
          <w:szCs w:val="22"/>
          <w:lang w:val="fr-BE" w:eastAsia="en-GB"/>
        </w:rPr>
        <w:t>connaissances</w:t>
      </w:r>
      <w:r w:rsidR="00564BAA">
        <w:rPr>
          <w:rFonts w:ascii="Arial Narrow" w:hAnsi="Arial Narrow" w:cs="Arial"/>
          <w:szCs w:val="22"/>
          <w:lang w:val="fr-BE" w:eastAsia="en-GB"/>
        </w:rPr>
        <w:t xml:space="preserve"> acquises en </w:t>
      </w:r>
      <w:r w:rsidR="00C82B5B">
        <w:rPr>
          <w:rFonts w:ascii="Arial Narrow" w:hAnsi="Arial Narrow" w:cs="Arial"/>
          <w:szCs w:val="22"/>
          <w:lang w:val="fr-BE" w:eastAsia="en-GB"/>
        </w:rPr>
        <w:t>Espagne</w:t>
      </w:r>
      <w:r w:rsidR="00564BAA">
        <w:rPr>
          <w:rFonts w:ascii="Arial Narrow" w:hAnsi="Arial Narrow" w:cs="Arial"/>
          <w:szCs w:val="22"/>
          <w:lang w:val="fr-BE" w:eastAsia="en-GB"/>
        </w:rPr>
        <w:t xml:space="preserve"> et</w:t>
      </w:r>
      <w:r w:rsidR="00C82B5B">
        <w:rPr>
          <w:rFonts w:ascii="Arial Narrow" w:hAnsi="Arial Narrow" w:cs="Arial"/>
          <w:szCs w:val="22"/>
          <w:lang w:val="fr-BE" w:eastAsia="en-GB"/>
        </w:rPr>
        <w:t xml:space="preserve"> dans</w:t>
      </w:r>
      <w:r w:rsidR="00564BAA">
        <w:rPr>
          <w:rFonts w:ascii="Arial Narrow" w:hAnsi="Arial Narrow" w:cs="Arial"/>
          <w:szCs w:val="22"/>
          <w:lang w:val="fr-BE" w:eastAsia="en-GB"/>
        </w:rPr>
        <w:t xml:space="preserve"> l’UE aux acteurs de la conservation et aux techniciens des </w:t>
      </w:r>
      <w:r w:rsidR="00D11FF8">
        <w:rPr>
          <w:rFonts w:ascii="Arial Narrow" w:hAnsi="Arial Narrow" w:cs="Arial"/>
          <w:szCs w:val="22"/>
          <w:lang w:val="fr-BE" w:eastAsia="en-GB"/>
        </w:rPr>
        <w:t>sociétés</w:t>
      </w:r>
      <w:r w:rsidR="00564BAA">
        <w:rPr>
          <w:rFonts w:ascii="Arial Narrow" w:hAnsi="Arial Narrow" w:cs="Arial"/>
          <w:szCs w:val="22"/>
          <w:lang w:val="fr-BE" w:eastAsia="en-GB"/>
        </w:rPr>
        <w:t xml:space="preserve"> électriques</w:t>
      </w:r>
      <w:r w:rsidR="00C82B5B">
        <w:rPr>
          <w:rFonts w:ascii="Arial Narrow" w:hAnsi="Arial Narrow" w:cs="Arial"/>
          <w:szCs w:val="22"/>
          <w:lang w:val="fr-BE" w:eastAsia="en-GB"/>
        </w:rPr>
        <w:t xml:space="preserve"> </w:t>
      </w:r>
      <w:r w:rsidR="00D11FF8">
        <w:rPr>
          <w:rFonts w:ascii="Arial Narrow" w:hAnsi="Arial Narrow" w:cs="Arial"/>
          <w:szCs w:val="22"/>
          <w:lang w:val="fr-BE" w:eastAsia="en-GB"/>
        </w:rPr>
        <w:t>de la Tunisie</w:t>
      </w:r>
      <w:r w:rsidR="00C82B5B">
        <w:rPr>
          <w:rFonts w:ascii="Arial Narrow" w:hAnsi="Arial Narrow" w:cs="Arial"/>
          <w:szCs w:val="22"/>
          <w:lang w:val="fr-BE" w:eastAsia="en-GB"/>
        </w:rPr>
        <w:t xml:space="preserve"> à propos de ses effets possibles sur l’environnement et des mesures correctives qui ont déjà fait leurs preuves. </w:t>
      </w:r>
    </w:p>
    <w:p w:rsidR="00114D1E" w:rsidRPr="00114D1E" w:rsidRDefault="00114D1E" w:rsidP="00FE067C">
      <w:pPr>
        <w:jc w:val="both"/>
        <w:rPr>
          <w:rFonts w:ascii="Arial Narrow" w:hAnsi="Arial Narrow" w:cs="Arial"/>
          <w:szCs w:val="22"/>
          <w:lang w:val="fr-BE" w:eastAsia="en-GB"/>
        </w:rPr>
      </w:pPr>
    </w:p>
    <w:p w:rsidR="00C82B5B" w:rsidRPr="00821525" w:rsidRDefault="00C82B5B" w:rsidP="000F2E3B">
      <w:pPr>
        <w:rPr>
          <w:rFonts w:ascii="Arial Narrow" w:hAnsi="Arial Narrow"/>
          <w:sz w:val="22"/>
          <w:szCs w:val="22"/>
          <w:lang w:val="fr-FR"/>
        </w:rPr>
        <w:sectPr w:rsidR="00C82B5B" w:rsidRPr="00821525" w:rsidSect="006A7A9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720" w:footer="720" w:gutter="0"/>
          <w:cols w:space="720"/>
          <w:titlePg/>
          <w:docGrid w:linePitch="360"/>
        </w:sectPr>
      </w:pPr>
    </w:p>
    <w:p w:rsidR="00821525" w:rsidRDefault="00821525">
      <w:pPr>
        <w:rPr>
          <w:rFonts w:ascii="Arial Narrow" w:hAnsi="Arial Narrow" w:cs="Arial"/>
          <w:b/>
          <w:sz w:val="22"/>
          <w:szCs w:val="22"/>
          <w:lang w:val="fr-BE"/>
        </w:rPr>
      </w:pPr>
      <w:r>
        <w:rPr>
          <w:rFonts w:ascii="Arial Narrow" w:hAnsi="Arial Narrow" w:cs="Arial"/>
          <w:b/>
          <w:sz w:val="22"/>
          <w:szCs w:val="22"/>
          <w:lang w:val="fr-BE"/>
        </w:rPr>
        <w:br w:type="page"/>
      </w:r>
    </w:p>
    <w:p w:rsidR="00C82B5B" w:rsidRPr="00C82B5B" w:rsidRDefault="00C82B5B" w:rsidP="0047487A">
      <w:pPr>
        <w:spacing w:before="12" w:after="12"/>
        <w:jc w:val="both"/>
        <w:rPr>
          <w:rFonts w:ascii="Arial Narrow" w:hAnsi="Arial Narrow" w:cs="Arial"/>
          <w:b/>
          <w:sz w:val="22"/>
          <w:szCs w:val="22"/>
          <w:lang w:val="fr-BE"/>
        </w:rPr>
      </w:pPr>
      <w:r w:rsidRPr="00C82B5B">
        <w:rPr>
          <w:rFonts w:ascii="Arial Narrow" w:hAnsi="Arial Narrow" w:cs="Arial"/>
          <w:b/>
          <w:sz w:val="22"/>
          <w:szCs w:val="22"/>
          <w:lang w:val="fr-BE"/>
        </w:rPr>
        <w:lastRenderedPageBreak/>
        <w:t>Contexte</w:t>
      </w:r>
    </w:p>
    <w:p w:rsidR="0024637D" w:rsidRPr="0024637D" w:rsidRDefault="0024637D" w:rsidP="0024637D">
      <w:pPr>
        <w:spacing w:before="12" w:after="12"/>
        <w:jc w:val="both"/>
        <w:rPr>
          <w:rFonts w:ascii="Arial" w:hAnsi="Arial" w:cs="Arial"/>
          <w:color w:val="595959" w:themeColor="text1" w:themeTint="A6"/>
          <w:sz w:val="22"/>
          <w:szCs w:val="22"/>
          <w:lang w:val="fr-BE"/>
        </w:rPr>
      </w:pPr>
      <w:r w:rsidRPr="0024637D">
        <w:rPr>
          <w:rFonts w:ascii="Arial" w:hAnsi="Arial" w:cs="Arial"/>
          <w:color w:val="595959" w:themeColor="text1" w:themeTint="A6"/>
          <w:sz w:val="22"/>
          <w:szCs w:val="22"/>
          <w:lang w:val="fr-BE"/>
        </w:rPr>
        <w:t xml:space="preserve">Depuis 2015 le Centre de Coopération pour la Méditerranée de l’UICN, en collaboration avec la Direction Générale des Forêts Tunisie (DGF) et d’autres partenaires dans la région, développe des activités de transfert des connaissances en relation avec la conservation de rapaces menacés entre techniciens et gestionnaires des deux rives de la méditerranée. </w:t>
      </w:r>
    </w:p>
    <w:p w:rsidR="0024637D" w:rsidRPr="0024637D" w:rsidRDefault="0024637D" w:rsidP="0024637D">
      <w:pPr>
        <w:spacing w:before="12" w:after="12"/>
        <w:jc w:val="both"/>
        <w:rPr>
          <w:rFonts w:ascii="Arial" w:hAnsi="Arial" w:cs="Arial"/>
          <w:color w:val="595959" w:themeColor="text1" w:themeTint="A6"/>
          <w:sz w:val="22"/>
          <w:szCs w:val="22"/>
          <w:lang w:val="fr-BE"/>
        </w:rPr>
      </w:pPr>
    </w:p>
    <w:p w:rsidR="0024637D" w:rsidRPr="0024637D" w:rsidRDefault="0024637D" w:rsidP="0024637D">
      <w:pPr>
        <w:spacing w:before="12" w:after="12"/>
        <w:jc w:val="both"/>
        <w:rPr>
          <w:rFonts w:ascii="Arial" w:hAnsi="Arial" w:cs="Arial"/>
          <w:color w:val="595959" w:themeColor="text1" w:themeTint="A6"/>
          <w:sz w:val="22"/>
          <w:szCs w:val="22"/>
          <w:lang w:val="fr-BE"/>
        </w:rPr>
      </w:pPr>
      <w:r w:rsidRPr="0024637D">
        <w:rPr>
          <w:rFonts w:ascii="Arial" w:hAnsi="Arial" w:cs="Arial"/>
          <w:color w:val="595959" w:themeColor="text1" w:themeTint="A6"/>
          <w:sz w:val="22"/>
          <w:szCs w:val="22"/>
          <w:lang w:val="fr-BE"/>
        </w:rPr>
        <w:t>Parmi les initiatives réalisées dans cette thématique nous pouvons citer le séminaire sur la conservation transfrontalière des rapaces menacés tenu en novembre 2015, à Malaga, l’édition du rapport sur la mortalité des rapaces par électrocution (en 2016), et l’organisation de l’atelier régional sur l’identification de l’impact des infrastructures électriques sur ces oiseaux (Tarifa, novembre 2016).</w:t>
      </w:r>
    </w:p>
    <w:p w:rsidR="0024637D" w:rsidRPr="0024637D" w:rsidRDefault="0024637D" w:rsidP="0024637D">
      <w:pPr>
        <w:spacing w:before="12" w:after="12"/>
        <w:jc w:val="both"/>
        <w:rPr>
          <w:rFonts w:ascii="Arial" w:hAnsi="Arial" w:cs="Arial"/>
          <w:color w:val="595959" w:themeColor="text1" w:themeTint="A6"/>
          <w:sz w:val="22"/>
          <w:szCs w:val="22"/>
          <w:lang w:val="fr-BE"/>
        </w:rPr>
      </w:pPr>
    </w:p>
    <w:p w:rsidR="00D61FB9" w:rsidRDefault="0024637D" w:rsidP="0024637D">
      <w:pPr>
        <w:spacing w:before="12" w:after="12"/>
        <w:jc w:val="both"/>
        <w:rPr>
          <w:rFonts w:ascii="Arial" w:hAnsi="Arial" w:cs="Arial"/>
          <w:color w:val="595959" w:themeColor="text1" w:themeTint="A6"/>
          <w:sz w:val="22"/>
          <w:szCs w:val="22"/>
          <w:lang w:val="fr-BE"/>
        </w:rPr>
      </w:pPr>
      <w:r w:rsidRPr="0024637D">
        <w:rPr>
          <w:rFonts w:ascii="Arial" w:hAnsi="Arial" w:cs="Arial"/>
          <w:color w:val="595959" w:themeColor="text1" w:themeTint="A6"/>
          <w:sz w:val="22"/>
          <w:szCs w:val="22"/>
          <w:lang w:val="fr-BE"/>
        </w:rPr>
        <w:t>Dans ce contexte, et suivant la feuille de route convenue dans les dits séminaires, la DGF, en collaboration avec l’UICN-Med, la STEG et l’Association « Les Amis des Oiseaux » organise un atelier de formation sur l’identification et l’atténuation de l’impact des infrastructures électriques sur l’avifaune dirigé au public tunisien.</w:t>
      </w:r>
    </w:p>
    <w:p w:rsidR="0024637D" w:rsidRPr="00D61FB9" w:rsidRDefault="0024637D" w:rsidP="0024637D">
      <w:pPr>
        <w:spacing w:before="12" w:after="12"/>
        <w:jc w:val="both"/>
        <w:rPr>
          <w:rFonts w:ascii="Arial" w:hAnsi="Arial" w:cs="Arial"/>
          <w:color w:val="595959" w:themeColor="text1" w:themeTint="A6"/>
          <w:sz w:val="22"/>
          <w:szCs w:val="22"/>
          <w:lang w:val="fr-BE"/>
        </w:rPr>
      </w:pPr>
    </w:p>
    <w:p w:rsidR="002B2D50" w:rsidRPr="008251D9" w:rsidRDefault="002B2D50" w:rsidP="0047487A">
      <w:pPr>
        <w:spacing w:before="12" w:after="12"/>
        <w:jc w:val="both"/>
        <w:rPr>
          <w:rFonts w:ascii="Arial Narrow" w:hAnsi="Arial Narrow" w:cs="Arial"/>
          <w:sz w:val="22"/>
          <w:szCs w:val="22"/>
          <w:highlight w:val="yellow"/>
          <w:lang w:val="fr-BE"/>
        </w:rPr>
      </w:pPr>
      <w:r w:rsidRPr="008251D9">
        <w:rPr>
          <w:rFonts w:ascii="Arial Narrow" w:hAnsi="Arial Narrow" w:cs="Arial"/>
          <w:b/>
          <w:sz w:val="22"/>
          <w:szCs w:val="22"/>
          <w:lang w:val="fr-BE"/>
        </w:rPr>
        <w:t>Objectif</w:t>
      </w:r>
    </w:p>
    <w:p w:rsidR="002B2D50" w:rsidRPr="002B2D50" w:rsidRDefault="002B2D50" w:rsidP="0047487A">
      <w:pPr>
        <w:spacing w:before="12" w:after="12"/>
        <w:jc w:val="both"/>
        <w:rPr>
          <w:rFonts w:ascii="Arial" w:hAnsi="Arial" w:cs="Arial"/>
          <w:color w:val="595959" w:themeColor="text1" w:themeTint="A6"/>
          <w:sz w:val="22"/>
          <w:szCs w:val="22"/>
          <w:lang w:val="fr-BE"/>
        </w:rPr>
      </w:pPr>
      <w:r w:rsidRPr="002B2D50">
        <w:rPr>
          <w:rFonts w:ascii="Arial" w:hAnsi="Arial" w:cs="Arial"/>
          <w:color w:val="595959" w:themeColor="text1" w:themeTint="A6"/>
          <w:sz w:val="22"/>
          <w:szCs w:val="22"/>
          <w:lang w:val="fr-BE"/>
        </w:rPr>
        <w:t>L’objectif principal de ce cours est de promouvoir</w:t>
      </w:r>
      <w:r w:rsidR="008251D9">
        <w:rPr>
          <w:rFonts w:ascii="Arial" w:hAnsi="Arial" w:cs="Arial"/>
          <w:color w:val="595959" w:themeColor="text1" w:themeTint="A6"/>
          <w:sz w:val="22"/>
          <w:szCs w:val="22"/>
          <w:lang w:val="fr-BE"/>
        </w:rPr>
        <w:t xml:space="preserve"> l’échange et le</w:t>
      </w:r>
      <w:r w:rsidRPr="002B2D50">
        <w:rPr>
          <w:rFonts w:ascii="Arial" w:hAnsi="Arial" w:cs="Arial"/>
          <w:color w:val="595959" w:themeColor="text1" w:themeTint="A6"/>
          <w:sz w:val="22"/>
          <w:szCs w:val="22"/>
          <w:lang w:val="fr-BE"/>
        </w:rPr>
        <w:t xml:space="preserve"> transfert des connaissances</w:t>
      </w:r>
      <w:r>
        <w:rPr>
          <w:rFonts w:ascii="Arial" w:hAnsi="Arial" w:cs="Arial"/>
          <w:color w:val="595959" w:themeColor="text1" w:themeTint="A6"/>
          <w:sz w:val="22"/>
          <w:szCs w:val="22"/>
          <w:lang w:val="fr-BE"/>
        </w:rPr>
        <w:t xml:space="preserve"> et des expériences</w:t>
      </w:r>
      <w:r w:rsidR="00D11FF8">
        <w:rPr>
          <w:rFonts w:ascii="Arial" w:hAnsi="Arial" w:cs="Arial"/>
          <w:color w:val="595959" w:themeColor="text1" w:themeTint="A6"/>
          <w:sz w:val="22"/>
          <w:szCs w:val="22"/>
          <w:lang w:val="fr-BE"/>
        </w:rPr>
        <w:t xml:space="preserve"> acquises </w:t>
      </w:r>
      <w:r>
        <w:rPr>
          <w:rFonts w:ascii="Arial" w:hAnsi="Arial" w:cs="Arial"/>
          <w:color w:val="595959" w:themeColor="text1" w:themeTint="A6"/>
          <w:sz w:val="22"/>
          <w:szCs w:val="22"/>
          <w:lang w:val="fr-BE"/>
        </w:rPr>
        <w:t xml:space="preserve">à propos de l’identification, l’adaptation et la correction des lignes électriques dangereuses pour l’avifaune. </w:t>
      </w:r>
    </w:p>
    <w:p w:rsidR="00BF3723" w:rsidRPr="002B2D50" w:rsidRDefault="00BF3723" w:rsidP="0047487A">
      <w:pPr>
        <w:spacing w:before="12" w:after="12"/>
        <w:jc w:val="both"/>
        <w:rPr>
          <w:rFonts w:ascii="Arial" w:hAnsi="Arial" w:cs="Arial"/>
          <w:color w:val="595959" w:themeColor="text1" w:themeTint="A6"/>
          <w:sz w:val="22"/>
          <w:szCs w:val="22"/>
          <w:lang w:val="fr-BE"/>
        </w:rPr>
      </w:pPr>
    </w:p>
    <w:p w:rsidR="008251D9" w:rsidRPr="00220E1A" w:rsidRDefault="00220E1A" w:rsidP="0047487A">
      <w:pPr>
        <w:spacing w:before="12" w:after="12"/>
        <w:jc w:val="both"/>
        <w:rPr>
          <w:rFonts w:ascii="Arial Narrow" w:hAnsi="Arial Narrow" w:cs="Arial"/>
          <w:sz w:val="22"/>
          <w:szCs w:val="22"/>
          <w:highlight w:val="yellow"/>
          <w:lang w:val="fr-BE"/>
        </w:rPr>
      </w:pPr>
      <w:r>
        <w:rPr>
          <w:rFonts w:ascii="Arial Narrow" w:hAnsi="Arial Narrow" w:cs="Arial"/>
          <w:b/>
          <w:sz w:val="22"/>
          <w:szCs w:val="22"/>
          <w:lang w:val="fr-BE"/>
        </w:rPr>
        <w:t>Destinataires</w:t>
      </w:r>
    </w:p>
    <w:p w:rsidR="008251D9" w:rsidRDefault="008251D9" w:rsidP="0047487A">
      <w:pPr>
        <w:spacing w:before="12" w:after="12"/>
        <w:jc w:val="both"/>
        <w:rPr>
          <w:rFonts w:ascii="Arial" w:hAnsi="Arial" w:cs="Arial"/>
          <w:color w:val="595959" w:themeColor="text1" w:themeTint="A6"/>
          <w:sz w:val="22"/>
          <w:szCs w:val="22"/>
          <w:lang w:val="fr-BE"/>
        </w:rPr>
      </w:pPr>
      <w:r w:rsidRPr="008251D9">
        <w:rPr>
          <w:rFonts w:ascii="Arial" w:hAnsi="Arial" w:cs="Arial"/>
          <w:color w:val="595959" w:themeColor="text1" w:themeTint="A6"/>
          <w:sz w:val="22"/>
          <w:szCs w:val="22"/>
          <w:lang w:val="fr-BE"/>
        </w:rPr>
        <w:t xml:space="preserve">Les bénéficiaires principaux de ce cours seront des acteurs </w:t>
      </w:r>
      <w:r>
        <w:rPr>
          <w:rFonts w:ascii="Arial" w:hAnsi="Arial" w:cs="Arial"/>
          <w:color w:val="595959" w:themeColor="text1" w:themeTint="A6"/>
          <w:sz w:val="22"/>
          <w:szCs w:val="22"/>
          <w:lang w:val="fr-BE"/>
        </w:rPr>
        <w:t xml:space="preserve">impliqués dans la conservation des </w:t>
      </w:r>
      <w:r w:rsidR="00D11FF8">
        <w:rPr>
          <w:rFonts w:ascii="Arial" w:hAnsi="Arial" w:cs="Arial"/>
          <w:color w:val="595959" w:themeColor="text1" w:themeTint="A6"/>
          <w:sz w:val="22"/>
          <w:szCs w:val="22"/>
          <w:lang w:val="fr-BE"/>
        </w:rPr>
        <w:t>oiseaux de la Tunisie</w:t>
      </w:r>
      <w:r>
        <w:rPr>
          <w:rFonts w:ascii="Arial" w:hAnsi="Arial" w:cs="Arial"/>
          <w:color w:val="595959" w:themeColor="text1" w:themeTint="A6"/>
          <w:sz w:val="22"/>
          <w:szCs w:val="22"/>
          <w:lang w:val="fr-BE"/>
        </w:rPr>
        <w:t>, dans les domaines suivant</w:t>
      </w:r>
      <w:r w:rsidR="00821525">
        <w:rPr>
          <w:rFonts w:ascii="Arial" w:hAnsi="Arial" w:cs="Arial"/>
          <w:color w:val="595959" w:themeColor="text1" w:themeTint="A6"/>
          <w:sz w:val="22"/>
          <w:szCs w:val="22"/>
          <w:lang w:val="fr-BE"/>
        </w:rPr>
        <w:t>s</w:t>
      </w:r>
      <w:r>
        <w:rPr>
          <w:rFonts w:ascii="Arial" w:hAnsi="Arial" w:cs="Arial"/>
          <w:color w:val="595959" w:themeColor="text1" w:themeTint="A6"/>
          <w:sz w:val="22"/>
          <w:szCs w:val="22"/>
          <w:lang w:val="fr-BE"/>
        </w:rPr>
        <w:t xml:space="preserve">: techniciens de l’administration </w:t>
      </w:r>
      <w:r w:rsidR="00220E1A">
        <w:rPr>
          <w:rFonts w:ascii="Arial" w:hAnsi="Arial" w:cs="Arial"/>
          <w:color w:val="595959" w:themeColor="text1" w:themeTint="A6"/>
          <w:sz w:val="22"/>
          <w:szCs w:val="22"/>
          <w:lang w:val="fr-BE"/>
        </w:rPr>
        <w:t>publique</w:t>
      </w:r>
      <w:r>
        <w:rPr>
          <w:rFonts w:ascii="Arial" w:hAnsi="Arial" w:cs="Arial"/>
          <w:color w:val="595959" w:themeColor="text1" w:themeTint="A6"/>
          <w:sz w:val="22"/>
          <w:szCs w:val="22"/>
          <w:lang w:val="fr-BE"/>
        </w:rPr>
        <w:t xml:space="preserve"> en charge de la protection</w:t>
      </w:r>
      <w:r w:rsidR="00220E1A">
        <w:rPr>
          <w:rFonts w:ascii="Arial" w:hAnsi="Arial" w:cs="Arial"/>
          <w:color w:val="595959" w:themeColor="text1" w:themeTint="A6"/>
          <w:sz w:val="22"/>
          <w:szCs w:val="22"/>
          <w:lang w:val="fr-BE"/>
        </w:rPr>
        <w:t xml:space="preserve"> de l’environnement, membres d’</w:t>
      </w:r>
      <w:r>
        <w:rPr>
          <w:rFonts w:ascii="Arial" w:hAnsi="Arial" w:cs="Arial"/>
          <w:color w:val="595959" w:themeColor="text1" w:themeTint="A6"/>
          <w:sz w:val="22"/>
          <w:szCs w:val="22"/>
          <w:lang w:val="fr-BE"/>
        </w:rPr>
        <w:t>ONG de conserva</w:t>
      </w:r>
      <w:r w:rsidR="00D11FF8">
        <w:rPr>
          <w:rFonts w:ascii="Arial" w:hAnsi="Arial" w:cs="Arial"/>
          <w:color w:val="595959" w:themeColor="text1" w:themeTint="A6"/>
          <w:sz w:val="22"/>
          <w:szCs w:val="22"/>
          <w:lang w:val="fr-BE"/>
        </w:rPr>
        <w:t xml:space="preserve">tion des espèces, techniciens de sociétés </w:t>
      </w:r>
      <w:r>
        <w:rPr>
          <w:rFonts w:ascii="Arial" w:hAnsi="Arial" w:cs="Arial"/>
          <w:color w:val="595959" w:themeColor="text1" w:themeTint="A6"/>
          <w:sz w:val="22"/>
          <w:szCs w:val="22"/>
          <w:lang w:val="fr-BE"/>
        </w:rPr>
        <w:t xml:space="preserve">électriques et en </w:t>
      </w:r>
      <w:r w:rsidR="00220E1A">
        <w:rPr>
          <w:rFonts w:ascii="Arial" w:hAnsi="Arial" w:cs="Arial"/>
          <w:color w:val="595959" w:themeColor="text1" w:themeTint="A6"/>
          <w:sz w:val="22"/>
          <w:szCs w:val="22"/>
          <w:lang w:val="fr-BE"/>
        </w:rPr>
        <w:t>relation</w:t>
      </w:r>
      <w:r>
        <w:rPr>
          <w:rFonts w:ascii="Arial" w:hAnsi="Arial" w:cs="Arial"/>
          <w:color w:val="595959" w:themeColor="text1" w:themeTint="A6"/>
          <w:sz w:val="22"/>
          <w:szCs w:val="22"/>
          <w:lang w:val="fr-BE"/>
        </w:rPr>
        <w:t xml:space="preserve"> avec les infrastructures énergétiques et de recherche scientifique.</w:t>
      </w:r>
    </w:p>
    <w:p w:rsidR="00821525" w:rsidRDefault="00821525" w:rsidP="0047487A">
      <w:pPr>
        <w:spacing w:before="12" w:after="12"/>
        <w:jc w:val="both"/>
        <w:rPr>
          <w:rFonts w:ascii="Arial" w:hAnsi="Arial" w:cs="Arial"/>
          <w:color w:val="595959" w:themeColor="text1" w:themeTint="A6"/>
          <w:sz w:val="22"/>
          <w:szCs w:val="22"/>
          <w:lang w:val="fr-BE"/>
        </w:rPr>
      </w:pPr>
    </w:p>
    <w:p w:rsidR="0007776A" w:rsidRPr="00C11A7F" w:rsidRDefault="00D93E9B" w:rsidP="0047487A">
      <w:pPr>
        <w:spacing w:before="12" w:after="12"/>
        <w:jc w:val="both"/>
        <w:rPr>
          <w:rFonts w:ascii="Arial Narrow" w:hAnsi="Arial Narrow" w:cs="Arial"/>
          <w:b/>
          <w:sz w:val="22"/>
          <w:szCs w:val="22"/>
          <w:lang w:val="fr-BE"/>
        </w:rPr>
      </w:pPr>
      <w:r w:rsidRPr="00C11A7F">
        <w:rPr>
          <w:rFonts w:ascii="Arial Narrow" w:hAnsi="Arial Narrow" w:cs="Arial"/>
          <w:b/>
          <w:sz w:val="22"/>
          <w:szCs w:val="22"/>
          <w:lang w:val="fr-BE"/>
        </w:rPr>
        <w:t>Organisé par</w:t>
      </w:r>
    </w:p>
    <w:p w:rsidR="00D93E9B" w:rsidRPr="00C11A7F" w:rsidRDefault="00AF6262" w:rsidP="00C11A7F">
      <w:pPr>
        <w:spacing w:before="12" w:after="12"/>
        <w:ind w:firstLine="720"/>
        <w:jc w:val="both"/>
        <w:rPr>
          <w:rFonts w:ascii="Arial" w:hAnsi="Arial" w:cs="Arial"/>
          <w:b/>
          <w:color w:val="595959" w:themeColor="text1" w:themeTint="A6"/>
          <w:sz w:val="22"/>
          <w:szCs w:val="22"/>
          <w:lang w:val="fr-BE"/>
        </w:rPr>
      </w:pPr>
      <w:r w:rsidRPr="00C11A7F">
        <w:rPr>
          <w:rFonts w:ascii="Arial" w:hAnsi="Arial" w:cs="Arial"/>
          <w:b/>
          <w:color w:val="595959" w:themeColor="text1" w:themeTint="A6"/>
          <w:sz w:val="22"/>
          <w:szCs w:val="22"/>
          <w:lang w:val="fr-BE"/>
        </w:rPr>
        <w:t>UICN- Med</w:t>
      </w:r>
    </w:p>
    <w:p w:rsidR="00D93E9B" w:rsidRDefault="00D93E9B" w:rsidP="00E13FAE">
      <w:pPr>
        <w:spacing w:before="12" w:after="12"/>
        <w:jc w:val="both"/>
        <w:rPr>
          <w:rFonts w:ascii="Arial" w:hAnsi="Arial" w:cs="Arial"/>
          <w:color w:val="595959" w:themeColor="text1" w:themeTint="A6"/>
          <w:sz w:val="22"/>
          <w:szCs w:val="22"/>
          <w:lang w:val="fr-BE"/>
        </w:rPr>
      </w:pPr>
      <w:r w:rsidRPr="00D93E9B">
        <w:rPr>
          <w:rFonts w:ascii="Arial" w:hAnsi="Arial" w:cs="Arial"/>
          <w:color w:val="595959" w:themeColor="text1" w:themeTint="A6"/>
          <w:sz w:val="22"/>
          <w:szCs w:val="22"/>
          <w:lang w:val="fr-BE"/>
        </w:rPr>
        <w:t>L</w:t>
      </w:r>
      <w:r w:rsidR="00821525">
        <w:rPr>
          <w:rFonts w:ascii="Arial" w:hAnsi="Arial" w:cs="Arial"/>
          <w:color w:val="595959" w:themeColor="text1" w:themeTint="A6"/>
          <w:sz w:val="22"/>
          <w:szCs w:val="22"/>
          <w:lang w:val="fr-BE"/>
        </w:rPr>
        <w:t xml:space="preserve">e Centre de Coopération pour la </w:t>
      </w:r>
      <w:r w:rsidRPr="00D93E9B">
        <w:rPr>
          <w:rFonts w:ascii="Arial" w:hAnsi="Arial" w:cs="Arial"/>
          <w:color w:val="595959" w:themeColor="text1" w:themeTint="A6"/>
          <w:sz w:val="22"/>
          <w:szCs w:val="22"/>
          <w:lang w:val="fr-BE"/>
        </w:rPr>
        <w:t xml:space="preserve">Méditerranée de l’UICN (UICN-Med) a débuté ses activités en 2001 avec le soutien du Ministère de l’agriculture, de l’alimentation et de l’environnement espagnol, </w:t>
      </w:r>
      <w:r w:rsidR="00C11A7F">
        <w:rPr>
          <w:rFonts w:ascii="Arial" w:hAnsi="Arial" w:cs="Arial"/>
          <w:color w:val="595959" w:themeColor="text1" w:themeTint="A6"/>
          <w:sz w:val="22"/>
          <w:szCs w:val="22"/>
          <w:lang w:val="fr-BE"/>
        </w:rPr>
        <w:t xml:space="preserve">de </w:t>
      </w:r>
      <w:r w:rsidRPr="00D93E9B">
        <w:rPr>
          <w:rFonts w:ascii="Arial" w:hAnsi="Arial" w:cs="Arial"/>
          <w:color w:val="595959" w:themeColor="text1" w:themeTint="A6"/>
          <w:sz w:val="22"/>
          <w:szCs w:val="22"/>
          <w:lang w:val="fr-BE"/>
        </w:rPr>
        <w:t xml:space="preserve">la Junta de Andalucía </w:t>
      </w:r>
      <w:r w:rsidR="00C11A7F">
        <w:rPr>
          <w:rFonts w:ascii="Arial" w:hAnsi="Arial" w:cs="Arial"/>
          <w:color w:val="595959" w:themeColor="text1" w:themeTint="A6"/>
          <w:sz w:val="22"/>
          <w:szCs w:val="22"/>
          <w:lang w:val="fr-BE"/>
        </w:rPr>
        <w:t>et de l’</w:t>
      </w:r>
      <w:r w:rsidR="00821525">
        <w:rPr>
          <w:rFonts w:ascii="Arial" w:hAnsi="Arial" w:cs="Arial"/>
          <w:color w:val="595959" w:themeColor="text1" w:themeTint="A6"/>
          <w:sz w:val="22"/>
          <w:szCs w:val="22"/>
          <w:lang w:val="fr-BE"/>
        </w:rPr>
        <w:t>A</w:t>
      </w:r>
      <w:r w:rsidR="00C11A7F">
        <w:rPr>
          <w:rFonts w:ascii="Arial" w:hAnsi="Arial" w:cs="Arial"/>
          <w:color w:val="595959" w:themeColor="text1" w:themeTint="A6"/>
          <w:sz w:val="22"/>
          <w:szCs w:val="22"/>
          <w:lang w:val="fr-BE"/>
        </w:rPr>
        <w:t>gence espagnol</w:t>
      </w:r>
      <w:r w:rsidR="00821525">
        <w:rPr>
          <w:rFonts w:ascii="Arial" w:hAnsi="Arial" w:cs="Arial"/>
          <w:color w:val="595959" w:themeColor="text1" w:themeTint="A6"/>
          <w:sz w:val="22"/>
          <w:szCs w:val="22"/>
          <w:lang w:val="fr-BE"/>
        </w:rPr>
        <w:t>e</w:t>
      </w:r>
      <w:r w:rsidR="00C11A7F">
        <w:rPr>
          <w:rFonts w:ascii="Arial" w:hAnsi="Arial" w:cs="Arial"/>
          <w:color w:val="595959" w:themeColor="text1" w:themeTint="A6"/>
          <w:sz w:val="22"/>
          <w:szCs w:val="22"/>
          <w:lang w:val="fr-BE"/>
        </w:rPr>
        <w:t xml:space="preserve"> de coopération international pour le développement. La mission du centre consiste à influencer, encourager et aider les sociétés méditerranéennes à trouver des solutions pragmatiques pour les principaux défis environnementaux et de développement auxquels la planète fait face, en particulier dans les domaines de la conservation et de l’utilisation durable des ressources dans la région méditerranéenne. </w:t>
      </w:r>
    </w:p>
    <w:p w:rsidR="0007776A" w:rsidRDefault="0007776A" w:rsidP="0047487A">
      <w:pPr>
        <w:spacing w:before="12" w:after="12"/>
        <w:jc w:val="both"/>
        <w:rPr>
          <w:rFonts w:ascii="Arial Narrow" w:hAnsi="Arial Narrow" w:cs="Arial"/>
          <w:b/>
          <w:sz w:val="22"/>
          <w:szCs w:val="22"/>
          <w:lang w:val="fr-BE"/>
        </w:rPr>
      </w:pPr>
    </w:p>
    <w:p w:rsidR="00D11FF8" w:rsidRPr="00D11FF8" w:rsidRDefault="00D11FF8" w:rsidP="0047487A">
      <w:pPr>
        <w:spacing w:before="12" w:after="12"/>
        <w:jc w:val="both"/>
        <w:rPr>
          <w:rFonts w:ascii="Arial" w:hAnsi="Arial" w:cs="Arial"/>
          <w:b/>
          <w:color w:val="595959" w:themeColor="text1" w:themeTint="A6"/>
          <w:sz w:val="22"/>
          <w:szCs w:val="22"/>
          <w:lang w:val="fr-BE"/>
        </w:rPr>
      </w:pPr>
      <w:r w:rsidRPr="00D11FF8">
        <w:rPr>
          <w:rFonts w:ascii="Arial" w:hAnsi="Arial" w:cs="Arial"/>
          <w:b/>
          <w:color w:val="595959" w:themeColor="text1" w:themeTint="A6"/>
          <w:sz w:val="22"/>
          <w:szCs w:val="22"/>
          <w:lang w:val="fr-BE"/>
        </w:rPr>
        <w:tab/>
        <w:t>Direction Générale des Forets</w:t>
      </w:r>
    </w:p>
    <w:p w:rsidR="00D11FF8" w:rsidRPr="00D11FF8" w:rsidRDefault="00D11FF8" w:rsidP="00D11FF8">
      <w:pPr>
        <w:ind w:left="142"/>
        <w:rPr>
          <w:rFonts w:ascii="Arial" w:hAnsi="Arial" w:cs="Arial"/>
          <w:color w:val="595959" w:themeColor="text1" w:themeTint="A6"/>
          <w:sz w:val="22"/>
          <w:szCs w:val="22"/>
          <w:lang w:val="fr-BE"/>
        </w:rPr>
      </w:pPr>
      <w:r w:rsidRPr="00D11FF8">
        <w:rPr>
          <w:rFonts w:ascii="Arial" w:hAnsi="Arial" w:cs="Arial"/>
          <w:color w:val="595959" w:themeColor="text1" w:themeTint="A6"/>
          <w:sz w:val="22"/>
          <w:szCs w:val="22"/>
          <w:lang w:val="fr-BE"/>
        </w:rPr>
        <w:t>La Direction Générale des Forêts (DGF), qui dépend du Ministère de l'agriculture, des ressources hydrauliques et de la pêche tunisien, est chargée, entre autres, de la protection de la nature et la gestion des parcs nationaux et des réserves naturelles, de la conservation, développement et protection des zones forestières, et la réglementation de l’exercice de chasse et le tourisme de chasse.</w:t>
      </w:r>
    </w:p>
    <w:p w:rsidR="00D11FF8" w:rsidRDefault="00D11FF8" w:rsidP="0047487A">
      <w:pPr>
        <w:spacing w:before="12" w:after="12"/>
        <w:jc w:val="both"/>
        <w:rPr>
          <w:rFonts w:ascii="Arial Narrow" w:hAnsi="Arial Narrow" w:cs="Arial"/>
          <w:b/>
          <w:sz w:val="22"/>
          <w:szCs w:val="22"/>
          <w:lang w:val="fr-FR"/>
        </w:rPr>
      </w:pPr>
    </w:p>
    <w:p w:rsidR="00D11FF8" w:rsidRPr="00D11FF8" w:rsidRDefault="00D11FF8" w:rsidP="0047487A">
      <w:pPr>
        <w:spacing w:before="12" w:after="12"/>
        <w:jc w:val="both"/>
        <w:rPr>
          <w:rFonts w:ascii="Arial" w:hAnsi="Arial" w:cs="Arial"/>
          <w:b/>
          <w:color w:val="595959" w:themeColor="text1" w:themeTint="A6"/>
          <w:sz w:val="22"/>
          <w:szCs w:val="22"/>
          <w:lang w:val="fr-BE"/>
        </w:rPr>
      </w:pPr>
      <w:r w:rsidRPr="00D11FF8">
        <w:rPr>
          <w:rFonts w:ascii="Arial" w:hAnsi="Arial" w:cs="Arial"/>
          <w:b/>
          <w:color w:val="595959" w:themeColor="text1" w:themeTint="A6"/>
          <w:sz w:val="22"/>
          <w:szCs w:val="22"/>
          <w:lang w:val="fr-BE"/>
        </w:rPr>
        <w:tab/>
        <w:t>Société tunisienne de l'électricité et du gaz (STEG)</w:t>
      </w:r>
    </w:p>
    <w:p w:rsidR="00D11FF8" w:rsidRDefault="00D11FF8" w:rsidP="0047487A">
      <w:pPr>
        <w:spacing w:before="12" w:after="12"/>
        <w:jc w:val="both"/>
        <w:rPr>
          <w:rFonts w:ascii="Arial" w:hAnsi="Arial" w:cs="Arial"/>
          <w:color w:val="595959" w:themeColor="text1" w:themeTint="A6"/>
          <w:sz w:val="22"/>
          <w:szCs w:val="22"/>
          <w:lang w:val="fr-BE"/>
        </w:rPr>
      </w:pPr>
      <w:r w:rsidRPr="00D11FF8">
        <w:rPr>
          <w:rFonts w:ascii="Arial" w:hAnsi="Arial" w:cs="Arial"/>
          <w:color w:val="595959" w:themeColor="text1" w:themeTint="A6"/>
          <w:sz w:val="22"/>
          <w:szCs w:val="22"/>
          <w:lang w:val="fr-BE"/>
        </w:rPr>
        <w:t>Créée en 1962, la STEG a pour mission la production et la distribution de l'électricité et du gaz naturel sur le territoire tunisien.</w:t>
      </w:r>
    </w:p>
    <w:p w:rsidR="00D11FF8" w:rsidRDefault="00D11FF8" w:rsidP="0047487A">
      <w:pPr>
        <w:spacing w:before="12" w:after="12"/>
        <w:jc w:val="both"/>
        <w:rPr>
          <w:rFonts w:ascii="Arial" w:hAnsi="Arial" w:cs="Arial"/>
          <w:color w:val="595959" w:themeColor="text1" w:themeTint="A6"/>
          <w:sz w:val="22"/>
          <w:szCs w:val="22"/>
          <w:lang w:val="fr-BE"/>
        </w:rPr>
      </w:pPr>
    </w:p>
    <w:p w:rsidR="00D11FF8" w:rsidRPr="00D11FF8" w:rsidRDefault="00D11FF8" w:rsidP="0047487A">
      <w:pPr>
        <w:spacing w:before="12" w:after="12"/>
        <w:jc w:val="both"/>
        <w:rPr>
          <w:rFonts w:ascii="Arial" w:hAnsi="Arial" w:cs="Arial"/>
          <w:b/>
          <w:color w:val="595959" w:themeColor="text1" w:themeTint="A6"/>
          <w:sz w:val="22"/>
          <w:szCs w:val="22"/>
          <w:lang w:val="fr-BE"/>
        </w:rPr>
      </w:pPr>
      <w:r w:rsidRPr="00D11FF8">
        <w:rPr>
          <w:rFonts w:ascii="Arial" w:hAnsi="Arial" w:cs="Arial"/>
          <w:b/>
          <w:color w:val="595959" w:themeColor="text1" w:themeTint="A6"/>
          <w:sz w:val="22"/>
          <w:szCs w:val="22"/>
          <w:lang w:val="fr-BE"/>
        </w:rPr>
        <w:tab/>
        <w:t>Association « Les Amis des Oiseaux » (AAO)</w:t>
      </w:r>
    </w:p>
    <w:p w:rsidR="00D11FF8" w:rsidRPr="006A7A91" w:rsidRDefault="00D11FF8" w:rsidP="00D11FF8">
      <w:pPr>
        <w:spacing w:before="12" w:after="12"/>
        <w:jc w:val="both"/>
        <w:rPr>
          <w:rFonts w:ascii="Arial" w:hAnsi="Arial" w:cs="Arial"/>
          <w:color w:val="595959" w:themeColor="text1" w:themeTint="A6"/>
          <w:sz w:val="22"/>
          <w:szCs w:val="22"/>
          <w:lang w:val="fr-BE"/>
        </w:rPr>
      </w:pPr>
      <w:r w:rsidRPr="006A7A91">
        <w:rPr>
          <w:rFonts w:ascii="Arial" w:hAnsi="Arial" w:cs="Arial"/>
          <w:color w:val="595959" w:themeColor="text1" w:themeTint="A6"/>
          <w:sz w:val="22"/>
          <w:szCs w:val="22"/>
          <w:lang w:val="fr-BE"/>
        </w:rPr>
        <w:t>« Etudier, suivre et protéger l'avifaune tunisienne, sédentaire et migratrice, et ses habitats », telle est la mission que l'AAO s'est fixée pour faire face à la pression toujours croissante sur les oiseaux par les activités humaines et les aléas de la nature.</w:t>
      </w:r>
    </w:p>
    <w:p w:rsidR="00D11FF8" w:rsidRPr="00D11FF8" w:rsidRDefault="00D11FF8" w:rsidP="0047487A">
      <w:pPr>
        <w:spacing w:before="12" w:after="12"/>
        <w:jc w:val="both"/>
        <w:rPr>
          <w:rFonts w:ascii="Arial" w:hAnsi="Arial" w:cs="Arial"/>
          <w:color w:val="595959" w:themeColor="text1" w:themeTint="A6"/>
          <w:sz w:val="22"/>
          <w:szCs w:val="22"/>
          <w:lang w:val="fr-BE"/>
        </w:rPr>
      </w:pPr>
    </w:p>
    <w:p w:rsidR="00DC1EB6" w:rsidRPr="00C11A7F" w:rsidRDefault="00C11A7F" w:rsidP="004162D7">
      <w:pPr>
        <w:spacing w:before="12" w:after="12"/>
        <w:ind w:firstLine="720"/>
        <w:jc w:val="both"/>
        <w:rPr>
          <w:rFonts w:ascii="Arial" w:hAnsi="Arial" w:cs="Arial"/>
          <w:b/>
          <w:color w:val="595959" w:themeColor="text1" w:themeTint="A6"/>
          <w:sz w:val="22"/>
          <w:szCs w:val="22"/>
          <w:lang w:val="fr-BE"/>
        </w:rPr>
      </w:pPr>
      <w:r w:rsidRPr="00C11A7F">
        <w:rPr>
          <w:rFonts w:ascii="Arial" w:hAnsi="Arial" w:cs="Arial"/>
          <w:b/>
          <w:color w:val="595959" w:themeColor="text1" w:themeTint="A6"/>
          <w:sz w:val="22"/>
          <w:szCs w:val="22"/>
          <w:lang w:val="fr-BE"/>
        </w:rPr>
        <w:lastRenderedPageBreak/>
        <w:t>Entités associées à l’initiative</w:t>
      </w:r>
    </w:p>
    <w:p w:rsidR="00E71CE4" w:rsidRPr="00194CB6" w:rsidRDefault="00E71CE4" w:rsidP="0047487A">
      <w:pPr>
        <w:pStyle w:val="FrontBottom"/>
        <w:spacing w:before="12" w:after="12"/>
        <w:jc w:val="both"/>
        <w:rPr>
          <w:color w:val="595959" w:themeColor="text1" w:themeTint="A6"/>
          <w:lang w:val="fr-BE"/>
        </w:rPr>
      </w:pPr>
      <w:r w:rsidRPr="00194CB6">
        <w:rPr>
          <w:color w:val="595959" w:themeColor="text1" w:themeTint="A6"/>
          <w:lang w:val="fr-BE"/>
        </w:rPr>
        <w:t xml:space="preserve">Cette initiative </w:t>
      </w:r>
      <w:r w:rsidR="00194CB6" w:rsidRPr="00194CB6">
        <w:rPr>
          <w:color w:val="595959" w:themeColor="text1" w:themeTint="A6"/>
          <w:lang w:val="fr-BE"/>
        </w:rPr>
        <w:t>réunira divers secteurs</w:t>
      </w:r>
      <w:r w:rsidR="00194CB6">
        <w:rPr>
          <w:color w:val="595959" w:themeColor="text1" w:themeTint="A6"/>
          <w:lang w:val="fr-BE"/>
        </w:rPr>
        <w:t xml:space="preserve"> et entités qui collaborent actuellement avec </w:t>
      </w:r>
      <w:r w:rsidR="00194CB6" w:rsidRPr="00194CB6">
        <w:rPr>
          <w:color w:val="595959" w:themeColor="text1" w:themeTint="A6"/>
          <w:lang w:val="fr-BE"/>
        </w:rPr>
        <w:t>UICN-Med</w:t>
      </w:r>
      <w:r w:rsidR="00220E1A">
        <w:rPr>
          <w:color w:val="595959" w:themeColor="text1" w:themeTint="A6"/>
          <w:lang w:val="fr-BE"/>
        </w:rPr>
        <w:t>:</w:t>
      </w:r>
    </w:p>
    <w:p w:rsidR="00E13FAE" w:rsidRPr="00220E1A" w:rsidRDefault="00E13FAE" w:rsidP="0047487A">
      <w:pPr>
        <w:pStyle w:val="FrontBottom"/>
        <w:spacing w:before="12" w:after="12"/>
        <w:jc w:val="both"/>
        <w:rPr>
          <w:color w:val="595959" w:themeColor="text1" w:themeTint="A6"/>
          <w:lang w:val="fr-BE"/>
        </w:rPr>
      </w:pPr>
    </w:p>
    <w:p w:rsidR="00DC1EB6" w:rsidRPr="00C11A7F" w:rsidRDefault="00C11A7F" w:rsidP="00E13FAE">
      <w:pPr>
        <w:pStyle w:val="FrontBottom"/>
        <w:spacing w:before="12" w:after="12"/>
        <w:jc w:val="both"/>
        <w:rPr>
          <w:color w:val="595959" w:themeColor="text1" w:themeTint="A6"/>
          <w:lang w:val="fr-BE"/>
        </w:rPr>
      </w:pPr>
      <w:r w:rsidRPr="00C11A7F">
        <w:rPr>
          <w:color w:val="595959" w:themeColor="text1" w:themeTint="A6"/>
          <w:lang w:val="fr-BE"/>
        </w:rPr>
        <w:t>Institutions gouvernementales:</w:t>
      </w:r>
    </w:p>
    <w:p w:rsidR="00E13FAE" w:rsidRPr="00E71CE4" w:rsidRDefault="00E71CE4" w:rsidP="00E13FAE">
      <w:pPr>
        <w:pStyle w:val="FrontBottom"/>
        <w:numPr>
          <w:ilvl w:val="0"/>
          <w:numId w:val="13"/>
        </w:numPr>
        <w:spacing w:before="12" w:after="12"/>
        <w:jc w:val="both"/>
        <w:rPr>
          <w:color w:val="595959" w:themeColor="text1" w:themeTint="A6"/>
          <w:lang w:val="fr-BE"/>
        </w:rPr>
      </w:pPr>
      <w:r w:rsidRPr="00E71CE4">
        <w:rPr>
          <w:color w:val="595959" w:themeColor="text1" w:themeTint="A6"/>
          <w:lang w:val="fr-BE"/>
        </w:rPr>
        <w:t xml:space="preserve">Ministère </w:t>
      </w:r>
      <w:r w:rsidR="006A7A91">
        <w:rPr>
          <w:color w:val="595959" w:themeColor="text1" w:themeTint="A6"/>
          <w:lang w:val="fr-BE"/>
        </w:rPr>
        <w:t xml:space="preserve">régional </w:t>
      </w:r>
      <w:r w:rsidRPr="00E71CE4">
        <w:rPr>
          <w:color w:val="595959" w:themeColor="text1" w:themeTint="A6"/>
          <w:lang w:val="fr-BE"/>
        </w:rPr>
        <w:t xml:space="preserve">de l’environnement </w:t>
      </w:r>
      <w:r w:rsidR="00DC1EB6" w:rsidRPr="00E71CE4">
        <w:rPr>
          <w:color w:val="595959" w:themeColor="text1" w:themeTint="A6"/>
          <w:lang w:val="fr-BE"/>
        </w:rPr>
        <w:t>de la Junta de Andalucía</w:t>
      </w:r>
    </w:p>
    <w:p w:rsidR="00C11A7F" w:rsidRPr="00E71CE4" w:rsidRDefault="00C11A7F" w:rsidP="00C11A7F">
      <w:pPr>
        <w:pStyle w:val="FrontBottom"/>
        <w:numPr>
          <w:ilvl w:val="0"/>
          <w:numId w:val="13"/>
        </w:numPr>
        <w:spacing w:before="12" w:after="12"/>
        <w:jc w:val="both"/>
        <w:rPr>
          <w:color w:val="595959" w:themeColor="text1" w:themeTint="A6"/>
          <w:lang w:val="fr-BE"/>
        </w:rPr>
      </w:pPr>
      <w:r w:rsidRPr="00E71CE4">
        <w:rPr>
          <w:color w:val="595959" w:themeColor="text1" w:themeTint="A6"/>
          <w:lang w:val="fr-BE"/>
        </w:rPr>
        <w:t>Direction Générale des Forêts, Tunisie</w:t>
      </w:r>
    </w:p>
    <w:p w:rsidR="00836F4C" w:rsidRDefault="00836F4C" w:rsidP="00AF6262">
      <w:pPr>
        <w:pStyle w:val="FrontBottom"/>
        <w:spacing w:before="12" w:after="12"/>
        <w:jc w:val="both"/>
        <w:rPr>
          <w:color w:val="595959" w:themeColor="text1" w:themeTint="A6"/>
          <w:lang w:val="es-ES_tradnl"/>
        </w:rPr>
      </w:pPr>
    </w:p>
    <w:p w:rsidR="00AF6262" w:rsidRPr="00C11A7F" w:rsidRDefault="006A7A91" w:rsidP="00AF6262">
      <w:pPr>
        <w:pStyle w:val="FrontBottom"/>
        <w:spacing w:before="12" w:after="12"/>
        <w:jc w:val="both"/>
        <w:rPr>
          <w:color w:val="595959" w:themeColor="text1" w:themeTint="A6"/>
          <w:lang w:val="fr-BE"/>
        </w:rPr>
      </w:pPr>
      <w:r>
        <w:rPr>
          <w:color w:val="595959" w:themeColor="text1" w:themeTint="A6"/>
          <w:lang w:val="fr-BE"/>
        </w:rPr>
        <w:t>S</w:t>
      </w:r>
      <w:r w:rsidR="00C11A7F" w:rsidRPr="00C11A7F">
        <w:rPr>
          <w:color w:val="595959" w:themeColor="text1" w:themeTint="A6"/>
          <w:lang w:val="fr-BE"/>
        </w:rPr>
        <w:t xml:space="preserve">ecteur énergétique </w:t>
      </w:r>
    </w:p>
    <w:p w:rsidR="006A7A91" w:rsidRPr="006A7A91" w:rsidRDefault="00AF6262" w:rsidP="00867CEE">
      <w:pPr>
        <w:pStyle w:val="FrontBottom"/>
        <w:numPr>
          <w:ilvl w:val="0"/>
          <w:numId w:val="13"/>
        </w:numPr>
        <w:spacing w:before="12" w:after="12"/>
        <w:jc w:val="both"/>
        <w:rPr>
          <w:color w:val="595959" w:themeColor="text1" w:themeTint="A6"/>
          <w:lang w:val="fr-FR"/>
        </w:rPr>
      </w:pPr>
      <w:r w:rsidRPr="006A7A91">
        <w:rPr>
          <w:color w:val="595959" w:themeColor="text1" w:themeTint="A6"/>
          <w:lang w:val="es-ES_tradnl"/>
        </w:rPr>
        <w:t>ENDESA</w:t>
      </w:r>
      <w:r w:rsidR="006A7A91" w:rsidRPr="006A7A91">
        <w:rPr>
          <w:color w:val="595959" w:themeColor="text1" w:themeTint="A6"/>
          <w:lang w:val="es-ES_tradnl"/>
        </w:rPr>
        <w:t xml:space="preserve"> – Enel Group</w:t>
      </w:r>
    </w:p>
    <w:p w:rsidR="004162D7" w:rsidRDefault="006A7A91" w:rsidP="00867CEE">
      <w:pPr>
        <w:pStyle w:val="FrontBottom"/>
        <w:numPr>
          <w:ilvl w:val="0"/>
          <w:numId w:val="13"/>
        </w:numPr>
        <w:spacing w:before="12" w:after="12"/>
        <w:jc w:val="both"/>
        <w:rPr>
          <w:color w:val="595959" w:themeColor="text1" w:themeTint="A6"/>
          <w:lang w:val="fr-FR"/>
        </w:rPr>
      </w:pPr>
      <w:r w:rsidRPr="006A7A91">
        <w:rPr>
          <w:color w:val="595959" w:themeColor="text1" w:themeTint="A6"/>
          <w:lang w:val="fr-FR"/>
        </w:rPr>
        <w:t>Centre de Formation et de Perfectionnement de Khledia</w:t>
      </w:r>
    </w:p>
    <w:p w:rsidR="00C468F3" w:rsidRDefault="00C468F3" w:rsidP="00C468F3">
      <w:pPr>
        <w:pStyle w:val="FrontBottom"/>
        <w:spacing w:before="12" w:after="12"/>
        <w:jc w:val="both"/>
        <w:rPr>
          <w:color w:val="595959" w:themeColor="text1" w:themeTint="A6"/>
          <w:lang w:val="fr-FR"/>
        </w:rPr>
      </w:pPr>
    </w:p>
    <w:p w:rsidR="00C468F3" w:rsidRPr="006A7A91" w:rsidRDefault="00C468F3" w:rsidP="00C468F3">
      <w:pPr>
        <w:pStyle w:val="FrontBottom"/>
        <w:spacing w:before="12" w:after="12"/>
        <w:jc w:val="both"/>
        <w:rPr>
          <w:color w:val="595959" w:themeColor="text1" w:themeTint="A6"/>
          <w:lang w:val="fr-FR"/>
        </w:rPr>
      </w:pPr>
    </w:p>
    <w:p w:rsidR="00291520" w:rsidRPr="00C468F3" w:rsidRDefault="00C468F3" w:rsidP="0047487A">
      <w:pPr>
        <w:spacing w:before="12" w:after="12"/>
        <w:jc w:val="both"/>
        <w:rPr>
          <w:rFonts w:ascii="Arial" w:hAnsi="Arial" w:cs="Arial"/>
          <w:b/>
          <w:sz w:val="22"/>
          <w:szCs w:val="22"/>
          <w:lang w:val="fr-BE"/>
        </w:rPr>
      </w:pPr>
      <w:r w:rsidRPr="00C468F3">
        <w:rPr>
          <w:rFonts w:ascii="Arial" w:hAnsi="Arial" w:cs="Arial"/>
          <w:b/>
          <w:sz w:val="22"/>
          <w:szCs w:val="22"/>
          <w:lang w:val="fr-BE"/>
        </w:rPr>
        <w:t>C</w:t>
      </w:r>
      <w:r w:rsidR="00194CB6" w:rsidRPr="00C468F3">
        <w:rPr>
          <w:rFonts w:ascii="Arial" w:hAnsi="Arial" w:cs="Arial"/>
          <w:b/>
          <w:sz w:val="22"/>
          <w:szCs w:val="22"/>
          <w:lang w:val="fr-BE"/>
        </w:rPr>
        <w:t>ontenu du cours de formation</w:t>
      </w:r>
    </w:p>
    <w:p w:rsidR="007810BA" w:rsidRPr="00C468F3" w:rsidRDefault="007810BA" w:rsidP="0047487A">
      <w:pPr>
        <w:spacing w:before="12" w:after="12"/>
        <w:jc w:val="both"/>
        <w:rPr>
          <w:rFonts w:ascii="Arial" w:hAnsi="Arial" w:cs="Arial"/>
          <w:sz w:val="22"/>
          <w:szCs w:val="22"/>
          <w:lang w:val="fr-BE"/>
        </w:rPr>
      </w:pPr>
    </w:p>
    <w:p w:rsidR="00194CB6" w:rsidRPr="00C468F3" w:rsidRDefault="00194CB6" w:rsidP="0047487A">
      <w:pPr>
        <w:spacing w:before="12" w:after="12"/>
        <w:jc w:val="both"/>
        <w:rPr>
          <w:rFonts w:ascii="Arial" w:hAnsi="Arial" w:cs="Arial"/>
          <w:color w:val="595959" w:themeColor="text1" w:themeTint="A6"/>
          <w:sz w:val="22"/>
          <w:szCs w:val="22"/>
          <w:lang w:val="fr-FR"/>
        </w:rPr>
      </w:pPr>
      <w:r w:rsidRPr="00C468F3">
        <w:rPr>
          <w:rFonts w:ascii="Arial" w:hAnsi="Arial" w:cs="Arial"/>
          <w:b/>
          <w:sz w:val="22"/>
          <w:szCs w:val="22"/>
          <w:lang w:val="fr-BE"/>
        </w:rPr>
        <w:t>Titre</w:t>
      </w:r>
      <w:r w:rsidR="007810BA" w:rsidRPr="00C468F3">
        <w:rPr>
          <w:rFonts w:ascii="Arial" w:hAnsi="Arial" w:cs="Arial"/>
          <w:b/>
          <w:sz w:val="22"/>
          <w:szCs w:val="22"/>
          <w:lang w:val="fr-BE"/>
        </w:rPr>
        <w:t>:</w:t>
      </w:r>
      <w:r w:rsidR="007810BA" w:rsidRPr="00C468F3">
        <w:rPr>
          <w:rFonts w:ascii="Arial" w:hAnsi="Arial" w:cs="Arial"/>
          <w:sz w:val="22"/>
          <w:szCs w:val="22"/>
          <w:lang w:val="fr-BE"/>
        </w:rPr>
        <w:t xml:space="preserve"> </w:t>
      </w:r>
      <w:r w:rsidR="00C468F3" w:rsidRPr="00C468F3">
        <w:rPr>
          <w:rFonts w:ascii="Arial" w:hAnsi="Arial" w:cs="Arial"/>
          <w:color w:val="595959" w:themeColor="text1" w:themeTint="A6"/>
          <w:sz w:val="22"/>
          <w:szCs w:val="22"/>
          <w:lang w:val="fr-FR"/>
        </w:rPr>
        <w:t>Id</w:t>
      </w:r>
      <w:r w:rsidR="006A7A91" w:rsidRPr="00C468F3">
        <w:rPr>
          <w:rFonts w:ascii="Arial" w:hAnsi="Arial" w:cs="Arial"/>
          <w:color w:val="595959" w:themeColor="text1" w:themeTint="A6"/>
          <w:sz w:val="22"/>
          <w:szCs w:val="22"/>
          <w:lang w:val="fr-FR"/>
        </w:rPr>
        <w:t>entification</w:t>
      </w:r>
      <w:r w:rsidRPr="00C468F3">
        <w:rPr>
          <w:rFonts w:ascii="Arial" w:hAnsi="Arial" w:cs="Arial"/>
          <w:color w:val="595959" w:themeColor="text1" w:themeTint="A6"/>
          <w:sz w:val="22"/>
          <w:szCs w:val="22"/>
          <w:lang w:val="fr-FR"/>
        </w:rPr>
        <w:t xml:space="preserve"> et atténuation de l’impact des infrastructures électriques sur l’avifaune. </w:t>
      </w:r>
    </w:p>
    <w:p w:rsidR="007810BA" w:rsidRPr="00C468F3" w:rsidRDefault="007810BA" w:rsidP="0047487A">
      <w:pPr>
        <w:spacing w:before="12" w:after="12"/>
        <w:jc w:val="both"/>
        <w:rPr>
          <w:rFonts w:ascii="Arial" w:hAnsi="Arial" w:cs="Arial"/>
          <w:sz w:val="22"/>
          <w:szCs w:val="22"/>
          <w:lang w:val="fr-FR"/>
        </w:rPr>
      </w:pPr>
    </w:p>
    <w:p w:rsidR="00194CB6" w:rsidRPr="00C468F3" w:rsidRDefault="00194CB6" w:rsidP="0047487A">
      <w:pPr>
        <w:spacing w:before="12" w:after="12"/>
        <w:jc w:val="both"/>
        <w:rPr>
          <w:rFonts w:ascii="Arial" w:hAnsi="Arial" w:cs="Arial"/>
          <w:sz w:val="22"/>
          <w:szCs w:val="22"/>
          <w:lang w:val="fr-BE"/>
        </w:rPr>
      </w:pPr>
      <w:r w:rsidRPr="00C468F3">
        <w:rPr>
          <w:rFonts w:ascii="Arial" w:hAnsi="Arial" w:cs="Arial"/>
          <w:b/>
          <w:sz w:val="22"/>
          <w:szCs w:val="22"/>
          <w:lang w:val="fr-BE"/>
        </w:rPr>
        <w:t>Objectif</w:t>
      </w:r>
      <w:r w:rsidR="007810BA" w:rsidRPr="00C468F3">
        <w:rPr>
          <w:rFonts w:ascii="Arial" w:hAnsi="Arial" w:cs="Arial"/>
          <w:b/>
          <w:sz w:val="22"/>
          <w:szCs w:val="22"/>
          <w:lang w:val="fr-BE"/>
        </w:rPr>
        <w:t>:</w:t>
      </w:r>
      <w:r w:rsidR="007810BA" w:rsidRPr="00C468F3">
        <w:rPr>
          <w:rFonts w:ascii="Arial" w:hAnsi="Arial" w:cs="Arial"/>
          <w:sz w:val="22"/>
          <w:szCs w:val="22"/>
          <w:lang w:val="fr-BE"/>
        </w:rPr>
        <w:t xml:space="preserve"> </w:t>
      </w:r>
      <w:r w:rsidR="00220E1A" w:rsidRPr="00C468F3">
        <w:rPr>
          <w:rFonts w:ascii="Arial" w:hAnsi="Arial" w:cs="Arial"/>
          <w:color w:val="595959" w:themeColor="text1" w:themeTint="A6"/>
          <w:sz w:val="22"/>
          <w:szCs w:val="22"/>
          <w:lang w:val="fr-BE"/>
        </w:rPr>
        <w:t>Connaî</w:t>
      </w:r>
      <w:r w:rsidRPr="00C468F3">
        <w:rPr>
          <w:rFonts w:ascii="Arial" w:hAnsi="Arial" w:cs="Arial"/>
          <w:color w:val="595959" w:themeColor="text1" w:themeTint="A6"/>
          <w:sz w:val="22"/>
          <w:szCs w:val="22"/>
          <w:lang w:val="fr-BE"/>
        </w:rPr>
        <w:t xml:space="preserve">tre les problèmes et les impacts principaux liés aux infrastructures </w:t>
      </w:r>
      <w:r w:rsidR="00294952" w:rsidRPr="00C468F3">
        <w:rPr>
          <w:rFonts w:ascii="Arial" w:hAnsi="Arial" w:cs="Arial"/>
          <w:color w:val="595959" w:themeColor="text1" w:themeTint="A6"/>
          <w:sz w:val="22"/>
          <w:szCs w:val="22"/>
          <w:lang w:val="fr-BE"/>
        </w:rPr>
        <w:t>é</w:t>
      </w:r>
      <w:r w:rsidRPr="00C468F3">
        <w:rPr>
          <w:rFonts w:ascii="Arial" w:hAnsi="Arial" w:cs="Arial"/>
          <w:color w:val="595959" w:themeColor="text1" w:themeTint="A6"/>
          <w:sz w:val="22"/>
          <w:szCs w:val="22"/>
          <w:lang w:val="fr-BE"/>
        </w:rPr>
        <w:t>lectriques sur l’avifaune</w:t>
      </w:r>
      <w:r w:rsidR="00294952" w:rsidRPr="00C468F3">
        <w:rPr>
          <w:rFonts w:ascii="Arial" w:hAnsi="Arial" w:cs="Arial"/>
          <w:color w:val="595959" w:themeColor="text1" w:themeTint="A6"/>
          <w:sz w:val="22"/>
          <w:szCs w:val="22"/>
          <w:lang w:val="fr-BE"/>
        </w:rPr>
        <w:t xml:space="preserve"> et les méthodes d’évaluation et d’atténuation de leurs impacts.</w:t>
      </w:r>
    </w:p>
    <w:p w:rsidR="00E10688" w:rsidRPr="00C468F3" w:rsidRDefault="00E10688" w:rsidP="0047487A">
      <w:pPr>
        <w:spacing w:before="12" w:after="12"/>
        <w:jc w:val="both"/>
        <w:rPr>
          <w:rFonts w:ascii="Arial" w:hAnsi="Arial" w:cs="Arial"/>
          <w:sz w:val="22"/>
          <w:szCs w:val="22"/>
          <w:lang w:val="fr-BE"/>
        </w:rPr>
      </w:pPr>
    </w:p>
    <w:p w:rsidR="000D77BF" w:rsidRPr="00C468F3" w:rsidRDefault="006A7A91" w:rsidP="0047487A">
      <w:pPr>
        <w:spacing w:before="12" w:after="12"/>
        <w:jc w:val="both"/>
        <w:rPr>
          <w:rFonts w:ascii="Arial" w:hAnsi="Arial" w:cs="Arial"/>
          <w:b/>
          <w:sz w:val="22"/>
          <w:szCs w:val="22"/>
          <w:lang w:val="fr-BE"/>
        </w:rPr>
      </w:pPr>
      <w:r w:rsidRPr="00C468F3">
        <w:rPr>
          <w:rFonts w:ascii="Arial" w:hAnsi="Arial" w:cs="Arial"/>
          <w:b/>
          <w:sz w:val="22"/>
          <w:szCs w:val="22"/>
          <w:lang w:val="fr-BE"/>
        </w:rPr>
        <w:t>Formateurs</w:t>
      </w:r>
      <w:r w:rsidR="00294952" w:rsidRPr="00C468F3">
        <w:rPr>
          <w:rFonts w:ascii="Arial" w:hAnsi="Arial" w:cs="Arial"/>
          <w:b/>
          <w:sz w:val="22"/>
          <w:szCs w:val="22"/>
          <w:lang w:val="fr-BE"/>
        </w:rPr>
        <w:t> :</w:t>
      </w:r>
    </w:p>
    <w:p w:rsidR="00D9777B" w:rsidRPr="00C468F3" w:rsidRDefault="006A7A91" w:rsidP="0047487A">
      <w:pPr>
        <w:pStyle w:val="ListParagraph"/>
        <w:numPr>
          <w:ilvl w:val="0"/>
          <w:numId w:val="13"/>
        </w:numPr>
        <w:spacing w:before="12" w:after="12"/>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Experts techniques du ministère régional de l’Andalousie, Espagne (</w:t>
      </w:r>
      <w:r w:rsidR="00D9777B" w:rsidRPr="00C468F3">
        <w:rPr>
          <w:rFonts w:ascii="Arial" w:hAnsi="Arial" w:cs="Arial"/>
          <w:color w:val="595959" w:themeColor="text1" w:themeTint="A6"/>
          <w:sz w:val="22"/>
          <w:szCs w:val="22"/>
          <w:lang w:val="fr-BE"/>
        </w:rPr>
        <w:t>Junta de Andalucía</w:t>
      </w:r>
      <w:r w:rsidRPr="00C468F3">
        <w:rPr>
          <w:rFonts w:ascii="Arial" w:hAnsi="Arial" w:cs="Arial"/>
          <w:color w:val="595959" w:themeColor="text1" w:themeTint="A6"/>
          <w:sz w:val="22"/>
          <w:szCs w:val="22"/>
          <w:lang w:val="fr-BE"/>
        </w:rPr>
        <w:t>)</w:t>
      </w:r>
    </w:p>
    <w:p w:rsidR="00321256" w:rsidRPr="00C468F3" w:rsidRDefault="00AC79D8" w:rsidP="0047487A">
      <w:pPr>
        <w:pStyle w:val="ListParagraph"/>
        <w:numPr>
          <w:ilvl w:val="0"/>
          <w:numId w:val="13"/>
        </w:numPr>
        <w:spacing w:before="12" w:after="12"/>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xml:space="preserve">Experts du secteur électrique </w:t>
      </w:r>
      <w:r w:rsidR="00894BB6" w:rsidRPr="00C468F3">
        <w:rPr>
          <w:rFonts w:ascii="Arial" w:hAnsi="Arial" w:cs="Arial"/>
          <w:color w:val="595959" w:themeColor="text1" w:themeTint="A6"/>
          <w:sz w:val="22"/>
          <w:szCs w:val="22"/>
          <w:lang w:val="fr-BE"/>
        </w:rPr>
        <w:t>(ENDESA)</w:t>
      </w:r>
    </w:p>
    <w:p w:rsidR="00D9777B" w:rsidRPr="00C468F3" w:rsidRDefault="00AC79D8" w:rsidP="005A0B35">
      <w:pPr>
        <w:pStyle w:val="ListParagraph"/>
        <w:numPr>
          <w:ilvl w:val="0"/>
          <w:numId w:val="13"/>
        </w:numPr>
        <w:spacing w:before="12" w:after="12"/>
        <w:rPr>
          <w:rFonts w:ascii="Arial" w:hAnsi="Arial" w:cs="Arial"/>
          <w:sz w:val="22"/>
          <w:szCs w:val="22"/>
          <w:lang w:val="fr-BE"/>
        </w:rPr>
      </w:pPr>
      <w:r w:rsidRPr="00C468F3">
        <w:rPr>
          <w:rFonts w:ascii="Arial" w:hAnsi="Arial" w:cs="Arial"/>
          <w:color w:val="595959" w:themeColor="text1" w:themeTint="A6"/>
          <w:sz w:val="22"/>
          <w:szCs w:val="22"/>
          <w:lang w:val="fr-BE"/>
        </w:rPr>
        <w:t xml:space="preserve">Experts </w:t>
      </w:r>
      <w:r w:rsidR="006A7A91" w:rsidRPr="00C468F3">
        <w:rPr>
          <w:rFonts w:ascii="Arial" w:hAnsi="Arial" w:cs="Arial"/>
          <w:color w:val="595959" w:themeColor="text1" w:themeTint="A6"/>
          <w:sz w:val="22"/>
          <w:szCs w:val="22"/>
          <w:lang w:val="fr-BE"/>
        </w:rPr>
        <w:t>en base de données et cartographie</w:t>
      </w:r>
    </w:p>
    <w:p w:rsidR="006A7A91" w:rsidRPr="00C468F3" w:rsidRDefault="006A7A91" w:rsidP="005A0B35">
      <w:pPr>
        <w:pStyle w:val="ListParagraph"/>
        <w:numPr>
          <w:ilvl w:val="0"/>
          <w:numId w:val="13"/>
        </w:numPr>
        <w:spacing w:before="12" w:after="12"/>
        <w:rPr>
          <w:rFonts w:ascii="Arial" w:hAnsi="Arial" w:cs="Arial"/>
          <w:sz w:val="22"/>
          <w:szCs w:val="22"/>
          <w:lang w:val="fr-BE"/>
        </w:rPr>
      </w:pPr>
    </w:p>
    <w:p w:rsidR="00D9777B" w:rsidRPr="00C468F3" w:rsidRDefault="00AC79D8" w:rsidP="0047487A">
      <w:pPr>
        <w:pStyle w:val="FrontBottom"/>
        <w:spacing w:before="12" w:after="12"/>
        <w:ind w:right="-6"/>
        <w:rPr>
          <w:b/>
          <w:color w:val="auto"/>
          <w:lang w:val="fr-BE"/>
        </w:rPr>
      </w:pPr>
      <w:r w:rsidRPr="00C468F3">
        <w:rPr>
          <w:b/>
          <w:color w:val="auto"/>
          <w:lang w:val="fr-BE"/>
        </w:rPr>
        <w:t>Structure du cours:</w:t>
      </w:r>
    </w:p>
    <w:p w:rsidR="00AC79D8" w:rsidRPr="00C468F3" w:rsidRDefault="00AC79D8" w:rsidP="006A7A91">
      <w:pPr>
        <w:pStyle w:val="FrontBottom"/>
        <w:spacing w:before="12" w:after="12"/>
        <w:ind w:right="-6"/>
        <w:rPr>
          <w:color w:val="595959" w:themeColor="text1" w:themeTint="A6"/>
          <w:lang w:val="fr-BE"/>
        </w:rPr>
      </w:pPr>
      <w:r w:rsidRPr="00C468F3">
        <w:rPr>
          <w:color w:val="595959" w:themeColor="text1" w:themeTint="A6"/>
          <w:lang w:val="fr-BE"/>
        </w:rPr>
        <w:t xml:space="preserve">Ce cours se déroulera en </w:t>
      </w:r>
      <w:r w:rsidR="006A7A91" w:rsidRPr="00C468F3">
        <w:rPr>
          <w:color w:val="595959" w:themeColor="text1" w:themeTint="A6"/>
          <w:lang w:val="fr-BE"/>
        </w:rPr>
        <w:t>deux</w:t>
      </w:r>
      <w:r w:rsidRPr="00C468F3">
        <w:rPr>
          <w:color w:val="595959" w:themeColor="text1" w:themeTint="A6"/>
          <w:lang w:val="fr-BE"/>
        </w:rPr>
        <w:t xml:space="preserve"> sessions; une session théorique composée </w:t>
      </w:r>
      <w:r w:rsidR="006A7A91" w:rsidRPr="00C468F3">
        <w:rPr>
          <w:color w:val="595959" w:themeColor="text1" w:themeTint="A6"/>
          <w:lang w:val="fr-BE"/>
        </w:rPr>
        <w:t xml:space="preserve">de communications </w:t>
      </w:r>
      <w:r w:rsidRPr="00C468F3">
        <w:rPr>
          <w:color w:val="595959" w:themeColor="text1" w:themeTint="A6"/>
          <w:lang w:val="fr-BE"/>
        </w:rPr>
        <w:t xml:space="preserve">et </w:t>
      </w:r>
      <w:r w:rsidR="006A7A91" w:rsidRPr="00C468F3">
        <w:rPr>
          <w:color w:val="595959" w:themeColor="text1" w:themeTint="A6"/>
          <w:lang w:val="fr-BE"/>
        </w:rPr>
        <w:t>une</w:t>
      </w:r>
      <w:r w:rsidRPr="00C468F3">
        <w:rPr>
          <w:color w:val="595959" w:themeColor="text1" w:themeTint="A6"/>
          <w:lang w:val="fr-BE"/>
        </w:rPr>
        <w:t xml:space="preserve"> session pratique sur </w:t>
      </w:r>
      <w:r w:rsidR="006A7A91" w:rsidRPr="00C468F3">
        <w:rPr>
          <w:color w:val="595959" w:themeColor="text1" w:themeTint="A6"/>
          <w:lang w:val="fr-BE"/>
        </w:rPr>
        <w:t>le site du Centre de Formation et de Perfectionnement de Khlédia de la STEG.</w:t>
      </w:r>
    </w:p>
    <w:p w:rsidR="00A95A5F" w:rsidRPr="00C468F3" w:rsidRDefault="00A95A5F" w:rsidP="0047487A">
      <w:pPr>
        <w:pStyle w:val="FrontBottom"/>
        <w:spacing w:before="12" w:after="12"/>
        <w:ind w:right="-6"/>
        <w:rPr>
          <w:color w:val="auto"/>
          <w:lang w:val="fr-BE"/>
        </w:rPr>
      </w:pPr>
    </w:p>
    <w:p w:rsidR="00321256" w:rsidRPr="00C468F3" w:rsidRDefault="00F86ECA" w:rsidP="00F86ECA">
      <w:pPr>
        <w:pStyle w:val="FrontBottom"/>
        <w:spacing w:before="12" w:after="12"/>
        <w:ind w:right="-6" w:firstLine="720"/>
        <w:rPr>
          <w:b/>
          <w:color w:val="auto"/>
          <w:lang w:val="fr-BE"/>
        </w:rPr>
      </w:pPr>
      <w:r w:rsidRPr="00C468F3">
        <w:rPr>
          <w:b/>
          <w:color w:val="auto"/>
          <w:lang w:val="fr-BE"/>
        </w:rPr>
        <w:t>Ph</w:t>
      </w:r>
      <w:r w:rsidR="00B31EE3" w:rsidRPr="00C468F3">
        <w:rPr>
          <w:b/>
          <w:color w:val="auto"/>
          <w:lang w:val="fr-BE"/>
        </w:rPr>
        <w:t>ase 1</w:t>
      </w:r>
      <w:r w:rsidR="00AF6262" w:rsidRPr="00C468F3">
        <w:rPr>
          <w:b/>
          <w:color w:val="auto"/>
          <w:lang w:val="fr-BE"/>
        </w:rPr>
        <w:t xml:space="preserve">. </w:t>
      </w:r>
      <w:r w:rsidR="00AC79D8" w:rsidRPr="00C468F3">
        <w:rPr>
          <w:b/>
          <w:color w:val="auto"/>
          <w:lang w:val="fr-BE"/>
        </w:rPr>
        <w:t>Session théorique:</w:t>
      </w:r>
    </w:p>
    <w:p w:rsidR="00F86ECA" w:rsidRPr="00C468F3" w:rsidRDefault="00F86ECA" w:rsidP="0047487A">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Concepts basiques sur les impacts des infrastructures électriques sur l’avifaune</w:t>
      </w:r>
    </w:p>
    <w:p w:rsidR="009D6D3F" w:rsidRPr="00C468F3" w:rsidRDefault="009D6D3F" w:rsidP="0047487A">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Caractéristiques des pylônes et de leur entourage</w:t>
      </w:r>
    </w:p>
    <w:p w:rsidR="009D6D3F" w:rsidRPr="00C468F3" w:rsidRDefault="009D6D3F" w:rsidP="009D6D3F">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Méthodes d’identification des points noirs, des pylônes et des lignes dangereuses pour l’avifaune</w:t>
      </w:r>
    </w:p>
    <w:p w:rsidR="009D6D3F" w:rsidRPr="00C468F3" w:rsidRDefault="009D6D3F" w:rsidP="009D6D3F">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Mesures principales d’atténuation des lignes existantes</w:t>
      </w:r>
    </w:p>
    <w:p w:rsidR="009D6D3F" w:rsidRPr="00C468F3" w:rsidRDefault="009D6D3F" w:rsidP="00B31EE3">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Propositions techniques pour l’installation de nouvelles lignes électriques</w:t>
      </w:r>
    </w:p>
    <w:p w:rsidR="00B31EE3" w:rsidRPr="00C468F3" w:rsidRDefault="00321256" w:rsidP="00B31EE3">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 xml:space="preserve">- </w:t>
      </w:r>
      <w:r w:rsidR="009D6D3F" w:rsidRPr="00C468F3">
        <w:rPr>
          <w:rFonts w:ascii="Arial" w:hAnsi="Arial" w:cs="Arial"/>
          <w:color w:val="595959" w:themeColor="text1" w:themeTint="A6"/>
          <w:sz w:val="22"/>
          <w:szCs w:val="22"/>
          <w:lang w:val="fr-BE"/>
        </w:rPr>
        <w:t>Importance du cadre juridique</w:t>
      </w:r>
    </w:p>
    <w:p w:rsidR="009D6D3F" w:rsidRPr="00C468F3" w:rsidRDefault="009D6D3F" w:rsidP="00B31EE3">
      <w:pPr>
        <w:spacing w:before="12" w:after="12"/>
        <w:jc w:val="both"/>
        <w:rPr>
          <w:rFonts w:ascii="Arial" w:hAnsi="Arial" w:cs="Arial"/>
          <w:color w:val="595959" w:themeColor="text1" w:themeTint="A6"/>
          <w:sz w:val="22"/>
          <w:szCs w:val="22"/>
          <w:lang w:val="fr-BE"/>
        </w:rPr>
      </w:pPr>
      <w:r w:rsidRPr="00C468F3">
        <w:rPr>
          <w:rFonts w:ascii="Arial" w:hAnsi="Arial" w:cs="Arial"/>
          <w:color w:val="595959" w:themeColor="text1" w:themeTint="A6"/>
          <w:sz w:val="22"/>
          <w:szCs w:val="22"/>
          <w:lang w:val="fr-BE"/>
        </w:rPr>
        <w:t>-</w:t>
      </w:r>
      <w:r w:rsidR="001E24A1" w:rsidRPr="00C468F3">
        <w:rPr>
          <w:rFonts w:ascii="Arial" w:hAnsi="Arial" w:cs="Arial"/>
          <w:color w:val="595959" w:themeColor="text1" w:themeTint="A6"/>
          <w:sz w:val="22"/>
          <w:szCs w:val="22"/>
          <w:lang w:val="fr-BE"/>
        </w:rPr>
        <w:t xml:space="preserve"> </w:t>
      </w:r>
      <w:r w:rsidR="00821525" w:rsidRPr="00C468F3">
        <w:rPr>
          <w:rFonts w:ascii="Arial" w:hAnsi="Arial" w:cs="Arial"/>
          <w:color w:val="595959" w:themeColor="text1" w:themeTint="A6"/>
          <w:sz w:val="22"/>
          <w:szCs w:val="22"/>
          <w:lang w:val="fr-BE"/>
        </w:rPr>
        <w:t>R</w:t>
      </w:r>
      <w:r w:rsidR="001E24A1" w:rsidRPr="00C468F3">
        <w:rPr>
          <w:rFonts w:ascii="Arial" w:hAnsi="Arial" w:cs="Arial"/>
          <w:color w:val="595959" w:themeColor="text1" w:themeTint="A6"/>
          <w:sz w:val="22"/>
          <w:szCs w:val="22"/>
          <w:lang w:val="fr-BE"/>
        </w:rPr>
        <w:t>apports et suivit des projets: analyse des priorités, réseau de vigilance et d’alerte, suivit du plan d’atténuation</w:t>
      </w:r>
    </w:p>
    <w:p w:rsidR="00D62FD2" w:rsidRPr="00C468F3" w:rsidRDefault="00D62FD2" w:rsidP="00B31EE3">
      <w:pPr>
        <w:spacing w:before="12" w:after="12"/>
        <w:jc w:val="both"/>
        <w:rPr>
          <w:rFonts w:ascii="Arial" w:hAnsi="Arial" w:cs="Arial"/>
          <w:color w:val="595959" w:themeColor="text1" w:themeTint="A6"/>
          <w:sz w:val="22"/>
          <w:szCs w:val="22"/>
          <w:lang w:val="fr-BE"/>
        </w:rPr>
      </w:pPr>
    </w:p>
    <w:p w:rsidR="00321256" w:rsidRPr="00C468F3" w:rsidRDefault="00321256" w:rsidP="0047487A">
      <w:pPr>
        <w:spacing w:before="12" w:after="12"/>
        <w:rPr>
          <w:rFonts w:ascii="Arial" w:hAnsi="Arial" w:cs="Arial"/>
          <w:sz w:val="22"/>
          <w:szCs w:val="22"/>
          <w:lang w:val="fr-FR"/>
        </w:rPr>
      </w:pPr>
    </w:p>
    <w:p w:rsidR="00321256" w:rsidRPr="00C468F3" w:rsidRDefault="001E24A1" w:rsidP="009712FA">
      <w:pPr>
        <w:spacing w:before="12" w:after="12"/>
        <w:ind w:firstLine="720"/>
        <w:jc w:val="both"/>
        <w:rPr>
          <w:rFonts w:ascii="Arial" w:hAnsi="Arial" w:cs="Arial"/>
          <w:b/>
          <w:sz w:val="22"/>
          <w:szCs w:val="22"/>
          <w:lang w:val="fr-BE"/>
        </w:rPr>
      </w:pPr>
      <w:r w:rsidRPr="00C468F3">
        <w:rPr>
          <w:rFonts w:ascii="Arial" w:hAnsi="Arial" w:cs="Arial"/>
          <w:b/>
          <w:sz w:val="22"/>
          <w:szCs w:val="22"/>
          <w:lang w:val="fr-BE"/>
        </w:rPr>
        <w:t>Phase 2</w:t>
      </w:r>
      <w:r w:rsidR="009712FA" w:rsidRPr="00C468F3">
        <w:rPr>
          <w:rFonts w:ascii="Arial" w:hAnsi="Arial" w:cs="Arial"/>
          <w:b/>
          <w:sz w:val="22"/>
          <w:szCs w:val="22"/>
          <w:lang w:val="fr-BE"/>
        </w:rPr>
        <w:t xml:space="preserve">. </w:t>
      </w:r>
      <w:r w:rsidRPr="00C468F3">
        <w:rPr>
          <w:rFonts w:ascii="Arial" w:hAnsi="Arial" w:cs="Arial"/>
          <w:b/>
          <w:sz w:val="22"/>
          <w:szCs w:val="22"/>
          <w:lang w:val="fr-BE"/>
        </w:rPr>
        <w:t>Session pratique</w:t>
      </w:r>
      <w:r w:rsidR="00321256" w:rsidRPr="00C468F3">
        <w:rPr>
          <w:rFonts w:ascii="Arial" w:hAnsi="Arial" w:cs="Arial"/>
          <w:b/>
          <w:sz w:val="22"/>
          <w:szCs w:val="22"/>
          <w:lang w:val="fr-BE"/>
        </w:rPr>
        <w:t>:</w:t>
      </w:r>
    </w:p>
    <w:p w:rsidR="006A7A91" w:rsidRPr="00C468F3" w:rsidRDefault="006A7A91" w:rsidP="006A7A91">
      <w:pPr>
        <w:pStyle w:val="FrontBottom"/>
        <w:spacing w:before="12" w:after="12"/>
        <w:ind w:left="142" w:right="-6"/>
        <w:rPr>
          <w:color w:val="595959" w:themeColor="text1" w:themeTint="A6"/>
          <w:lang w:val="fr-BE"/>
        </w:rPr>
      </w:pPr>
      <w:r w:rsidRPr="00C468F3">
        <w:rPr>
          <w:color w:val="595959" w:themeColor="text1" w:themeTint="A6"/>
          <w:lang w:val="fr-BE"/>
        </w:rPr>
        <w:t>Caractérisation sur le terrain de lignes et pylônes électriques</w:t>
      </w:r>
    </w:p>
    <w:p w:rsidR="006A7A91" w:rsidRPr="00C468F3" w:rsidRDefault="006A7A91" w:rsidP="006A7A91">
      <w:pPr>
        <w:pStyle w:val="FrontBottom"/>
        <w:spacing w:before="12" w:after="12"/>
        <w:ind w:left="142" w:right="-6"/>
        <w:rPr>
          <w:color w:val="595959" w:themeColor="text1" w:themeTint="A6"/>
          <w:lang w:val="fr-BE"/>
        </w:rPr>
      </w:pPr>
      <w:r w:rsidRPr="00C468F3">
        <w:rPr>
          <w:color w:val="595959" w:themeColor="text1" w:themeTint="A6"/>
          <w:lang w:val="fr-BE"/>
        </w:rPr>
        <w:t>Identification des différents types de pylônes et des mesures de correction appropriées dans chaque cas</w:t>
      </w:r>
    </w:p>
    <w:p w:rsidR="00B31EE3" w:rsidRPr="00C468F3" w:rsidRDefault="006A7A91" w:rsidP="006A7A91">
      <w:pPr>
        <w:pStyle w:val="FrontBottom"/>
        <w:spacing w:before="12" w:after="12"/>
        <w:ind w:left="142" w:right="-6"/>
        <w:rPr>
          <w:color w:val="595959" w:themeColor="text1" w:themeTint="A6"/>
          <w:lang w:val="fr-BE"/>
        </w:rPr>
      </w:pPr>
      <w:r w:rsidRPr="00C468F3">
        <w:rPr>
          <w:color w:val="595959" w:themeColor="text1" w:themeTint="A6"/>
          <w:lang w:val="fr-BE"/>
        </w:rPr>
        <w:t>Analyse du type et qualités des données récoltées par les différentes institutions</w:t>
      </w:r>
    </w:p>
    <w:p w:rsidR="006A7A91" w:rsidRPr="00C468F3" w:rsidRDefault="006A7A91" w:rsidP="006A7A91">
      <w:pPr>
        <w:pStyle w:val="FrontBottom"/>
        <w:spacing w:before="12" w:after="12"/>
        <w:ind w:left="142" w:right="-6"/>
        <w:rPr>
          <w:color w:val="595959" w:themeColor="text1" w:themeTint="A6"/>
          <w:lang w:val="fr-BE"/>
        </w:rPr>
      </w:pPr>
    </w:p>
    <w:p w:rsidR="00EA4128" w:rsidRPr="00C468F3" w:rsidRDefault="005D3CA6" w:rsidP="00B31EE3">
      <w:pPr>
        <w:pStyle w:val="FrontBottom"/>
        <w:spacing w:before="12" w:after="12"/>
        <w:ind w:right="-6"/>
        <w:rPr>
          <w:b/>
          <w:color w:val="auto"/>
          <w:lang w:val="fr-BE"/>
        </w:rPr>
      </w:pPr>
      <w:r w:rsidRPr="00C468F3">
        <w:rPr>
          <w:b/>
          <w:color w:val="auto"/>
          <w:lang w:val="fr-BE"/>
        </w:rPr>
        <w:t>Durée</w:t>
      </w:r>
      <w:r w:rsidR="001E24A1" w:rsidRPr="00C468F3">
        <w:rPr>
          <w:b/>
          <w:color w:val="auto"/>
          <w:lang w:val="fr-BE"/>
        </w:rPr>
        <w:t xml:space="preserve"> et dates</w:t>
      </w:r>
    </w:p>
    <w:p w:rsidR="006A7A91" w:rsidRPr="00C468F3" w:rsidRDefault="006A7A91" w:rsidP="00B31EE3">
      <w:pPr>
        <w:pStyle w:val="FrontBottom"/>
        <w:spacing w:before="12" w:after="12"/>
        <w:ind w:right="-6"/>
        <w:rPr>
          <w:color w:val="595959" w:themeColor="text1" w:themeTint="A6"/>
          <w:lang w:val="fr-FR"/>
        </w:rPr>
      </w:pPr>
      <w:r w:rsidRPr="00C468F3">
        <w:rPr>
          <w:color w:val="595959" w:themeColor="text1" w:themeTint="A6"/>
          <w:lang w:val="fr-FR"/>
        </w:rPr>
        <w:t>L’atelier aura lieu le jeudi 30 novembre et le vendredi 1 décembre 2017.</w:t>
      </w:r>
    </w:p>
    <w:p w:rsidR="005D3CA6" w:rsidRPr="00C468F3" w:rsidRDefault="005D3CA6" w:rsidP="00B31EE3">
      <w:pPr>
        <w:pStyle w:val="FrontBottom"/>
        <w:spacing w:before="12" w:after="12"/>
        <w:ind w:right="-6"/>
        <w:rPr>
          <w:b/>
          <w:color w:val="auto"/>
          <w:lang w:val="fr-FR"/>
        </w:rPr>
      </w:pPr>
    </w:p>
    <w:p w:rsidR="00B31EE3" w:rsidRPr="0024637D" w:rsidRDefault="005D3CA6" w:rsidP="00B31EE3">
      <w:pPr>
        <w:pStyle w:val="FrontBottom"/>
        <w:spacing w:before="12" w:after="12"/>
        <w:ind w:right="-6"/>
        <w:rPr>
          <w:b/>
          <w:color w:val="auto"/>
          <w:lang w:val="fr-FR"/>
        </w:rPr>
      </w:pPr>
      <w:r w:rsidRPr="0024637D">
        <w:rPr>
          <w:b/>
          <w:color w:val="auto"/>
          <w:lang w:val="fr-FR"/>
        </w:rPr>
        <w:t>Lieu</w:t>
      </w:r>
    </w:p>
    <w:p w:rsidR="006A7A91" w:rsidRPr="00C468F3" w:rsidRDefault="006A7A91" w:rsidP="006A7A91">
      <w:pPr>
        <w:pStyle w:val="FrontBottom"/>
        <w:spacing w:before="12" w:after="12"/>
        <w:ind w:right="-6"/>
        <w:rPr>
          <w:color w:val="595959" w:themeColor="text1" w:themeTint="A6"/>
          <w:lang w:val="fr-BE"/>
        </w:rPr>
      </w:pPr>
      <w:r w:rsidRPr="00C468F3">
        <w:rPr>
          <w:color w:val="595959" w:themeColor="text1" w:themeTint="A6"/>
          <w:lang w:val="fr-BE"/>
        </w:rPr>
        <w:t>Centre de Formation et de Perfectionnement de Khlédia de la STEG</w:t>
      </w:r>
      <w:r w:rsidR="006F75D5">
        <w:rPr>
          <w:color w:val="595959" w:themeColor="text1" w:themeTint="A6"/>
          <w:lang w:val="fr-BE"/>
        </w:rPr>
        <w:t>, Ben Arous, Tunisie</w:t>
      </w:r>
      <w:r w:rsidRPr="00C468F3">
        <w:rPr>
          <w:color w:val="595959" w:themeColor="text1" w:themeTint="A6"/>
          <w:lang w:val="fr-BE"/>
        </w:rPr>
        <w:t xml:space="preserve">. </w:t>
      </w:r>
    </w:p>
    <w:p w:rsidR="00547611" w:rsidRPr="00C468F3" w:rsidRDefault="00547611">
      <w:pPr>
        <w:rPr>
          <w:rFonts w:ascii="Arial" w:hAnsi="Arial" w:cs="Arial"/>
          <w:color w:val="595959" w:themeColor="text1" w:themeTint="A6"/>
          <w:sz w:val="22"/>
          <w:szCs w:val="22"/>
          <w:lang w:val="fr-BE"/>
        </w:rPr>
      </w:pPr>
    </w:p>
    <w:p w:rsidR="00EA4128" w:rsidRPr="00C468F3" w:rsidRDefault="005D3CA6" w:rsidP="00EA4128">
      <w:pPr>
        <w:pStyle w:val="FrontBottom"/>
        <w:spacing w:before="12" w:after="12"/>
        <w:ind w:right="-6"/>
        <w:rPr>
          <w:b/>
          <w:color w:val="auto"/>
          <w:lang w:val="fr-BE"/>
        </w:rPr>
      </w:pPr>
      <w:r w:rsidRPr="00C468F3">
        <w:rPr>
          <w:b/>
          <w:color w:val="auto"/>
          <w:lang w:val="fr-BE"/>
        </w:rPr>
        <w:t>Langue</w:t>
      </w:r>
    </w:p>
    <w:p w:rsidR="005D3CA6" w:rsidRPr="00C468F3" w:rsidRDefault="006A7A91" w:rsidP="00EA4128">
      <w:pPr>
        <w:pStyle w:val="FrontBottom"/>
        <w:spacing w:before="12" w:after="12"/>
        <w:ind w:right="-6"/>
        <w:rPr>
          <w:color w:val="595959" w:themeColor="text1" w:themeTint="A6"/>
          <w:lang w:val="fr-BE"/>
        </w:rPr>
      </w:pPr>
      <w:r w:rsidRPr="00C468F3">
        <w:rPr>
          <w:color w:val="595959" w:themeColor="text1" w:themeTint="A6"/>
          <w:lang w:val="fr-BE"/>
        </w:rPr>
        <w:t xml:space="preserve">L’atelier sera tenu en français et en </w:t>
      </w:r>
      <w:r w:rsidR="005D3CA6" w:rsidRPr="00C468F3">
        <w:rPr>
          <w:color w:val="595959" w:themeColor="text1" w:themeTint="A6"/>
          <w:lang w:val="fr-BE"/>
        </w:rPr>
        <w:t>es</w:t>
      </w:r>
      <w:r w:rsidRPr="00C468F3">
        <w:rPr>
          <w:color w:val="595959" w:themeColor="text1" w:themeTint="A6"/>
          <w:lang w:val="fr-BE"/>
        </w:rPr>
        <w:t xml:space="preserve">pagnol avec un service de </w:t>
      </w:r>
      <w:r w:rsidR="005D3CA6" w:rsidRPr="00C468F3">
        <w:rPr>
          <w:color w:val="595959" w:themeColor="text1" w:themeTint="A6"/>
          <w:lang w:val="fr-BE"/>
        </w:rPr>
        <w:t>traduction simultanée.</w:t>
      </w:r>
    </w:p>
    <w:sectPr w:rsidR="005D3CA6" w:rsidRPr="00C468F3" w:rsidSect="006A7A91">
      <w:type w:val="continuous"/>
      <w:pgSz w:w="11907" w:h="16840" w:code="9"/>
      <w:pgMar w:top="1134" w:right="1134" w:bottom="1134" w:left="1134"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81" w:rsidRDefault="00BB6981">
      <w:r>
        <w:separator/>
      </w:r>
    </w:p>
  </w:endnote>
  <w:endnote w:type="continuationSeparator" w:id="0">
    <w:p w:rsidR="00BB6981" w:rsidRDefault="00BB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7F" w:rsidRDefault="00C1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9189"/>
      <w:docPartObj>
        <w:docPartGallery w:val="Page Numbers (Bottom of Page)"/>
        <w:docPartUnique/>
      </w:docPartObj>
    </w:sdtPr>
    <w:sdtEndPr>
      <w:rPr>
        <w:noProof/>
      </w:rPr>
    </w:sdtEndPr>
    <w:sdtContent>
      <w:p w:rsidR="00C11A7F" w:rsidRDefault="00C11A7F">
        <w:pPr>
          <w:pStyle w:val="Footer"/>
          <w:jc w:val="right"/>
        </w:pPr>
        <w:r>
          <w:fldChar w:fldCharType="begin"/>
        </w:r>
        <w:r>
          <w:instrText xml:space="preserve"> PAGE   \* MERGEFORMAT </w:instrText>
        </w:r>
        <w:r>
          <w:fldChar w:fldCharType="separate"/>
        </w:r>
        <w:r w:rsidR="0024637D">
          <w:rPr>
            <w:noProof/>
          </w:rPr>
          <w:t>3</w:t>
        </w:r>
        <w:r>
          <w:rPr>
            <w:noProof/>
          </w:rPr>
          <w:fldChar w:fldCharType="end"/>
        </w:r>
      </w:p>
    </w:sdtContent>
  </w:sdt>
  <w:p w:rsidR="00C11A7F" w:rsidRDefault="00C1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7F" w:rsidRDefault="00C11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81" w:rsidRDefault="00BB6981">
      <w:r>
        <w:separator/>
      </w:r>
    </w:p>
  </w:footnote>
  <w:footnote w:type="continuationSeparator" w:id="0">
    <w:p w:rsidR="00BB6981" w:rsidRDefault="00BB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7F" w:rsidRDefault="00C11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7F" w:rsidRDefault="00C11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7F" w:rsidRDefault="00C11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16C2"/>
    <w:multiLevelType w:val="hybridMultilevel"/>
    <w:tmpl w:val="A8684CBA"/>
    <w:lvl w:ilvl="0" w:tplc="9EAA55FE">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B5850"/>
    <w:multiLevelType w:val="hybridMultilevel"/>
    <w:tmpl w:val="7DFCB86C"/>
    <w:lvl w:ilvl="0" w:tplc="FF0AB14E">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860A6"/>
    <w:multiLevelType w:val="hybridMultilevel"/>
    <w:tmpl w:val="1DDE58E4"/>
    <w:lvl w:ilvl="0" w:tplc="98B6F02A">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B835E0"/>
    <w:multiLevelType w:val="hybridMultilevel"/>
    <w:tmpl w:val="3020C0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FA05205"/>
    <w:multiLevelType w:val="hybridMultilevel"/>
    <w:tmpl w:val="549E89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1130E1"/>
    <w:multiLevelType w:val="hybridMultilevel"/>
    <w:tmpl w:val="E1028724"/>
    <w:lvl w:ilvl="0" w:tplc="9EAA55FE">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E6005"/>
    <w:multiLevelType w:val="hybridMultilevel"/>
    <w:tmpl w:val="C6BA5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567FD"/>
    <w:multiLevelType w:val="hybridMultilevel"/>
    <w:tmpl w:val="CB92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6A04"/>
    <w:multiLevelType w:val="hybridMultilevel"/>
    <w:tmpl w:val="E4AA0362"/>
    <w:lvl w:ilvl="0" w:tplc="FF0AB14E">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D4AA7"/>
    <w:multiLevelType w:val="hybridMultilevel"/>
    <w:tmpl w:val="5840FF18"/>
    <w:lvl w:ilvl="0" w:tplc="5A00110C">
      <w:numFmt w:val="bullet"/>
      <w:lvlText w:val="-"/>
      <w:lvlJc w:val="left"/>
      <w:pPr>
        <w:tabs>
          <w:tab w:val="num" w:pos="1800"/>
        </w:tabs>
        <w:ind w:left="180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D350E"/>
    <w:multiLevelType w:val="hybridMultilevel"/>
    <w:tmpl w:val="6010B2EA"/>
    <w:lvl w:ilvl="0" w:tplc="A300D734">
      <w:start w:val="6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B4A2E"/>
    <w:multiLevelType w:val="hybridMultilevel"/>
    <w:tmpl w:val="5C20BDA2"/>
    <w:lvl w:ilvl="0" w:tplc="5A00110C">
      <w:numFmt w:val="bullet"/>
      <w:lvlText w:val="-"/>
      <w:lvlJc w:val="left"/>
      <w:pPr>
        <w:tabs>
          <w:tab w:val="num" w:pos="1800"/>
        </w:tabs>
        <w:ind w:left="1800" w:hanging="360"/>
      </w:pPr>
      <w:rPr>
        <w:rFonts w:ascii="Arial" w:eastAsia="Times New Roman" w:hAnsi="Arial" w:cs="Aria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28712B0"/>
    <w:multiLevelType w:val="hybridMultilevel"/>
    <w:tmpl w:val="3B5E1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0326E7"/>
    <w:multiLevelType w:val="hybridMultilevel"/>
    <w:tmpl w:val="8690C70C"/>
    <w:lvl w:ilvl="0" w:tplc="D8E45AB0">
      <w:start w:val="3"/>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0"/>
  </w:num>
  <w:num w:numId="8">
    <w:abstractNumId w:val="11"/>
  </w:num>
  <w:num w:numId="9">
    <w:abstractNumId w:val="10"/>
  </w:num>
  <w:num w:numId="10">
    <w:abstractNumId w:val="13"/>
  </w:num>
  <w:num w:numId="11">
    <w:abstractNumId w:val="9"/>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75"/>
    <w:rsid w:val="00030855"/>
    <w:rsid w:val="00043C3B"/>
    <w:rsid w:val="00064C39"/>
    <w:rsid w:val="0007776A"/>
    <w:rsid w:val="00095941"/>
    <w:rsid w:val="000A185B"/>
    <w:rsid w:val="000A4BF2"/>
    <w:rsid w:val="000B1142"/>
    <w:rsid w:val="000B31C9"/>
    <w:rsid w:val="000B6231"/>
    <w:rsid w:val="000D77BF"/>
    <w:rsid w:val="000F2E3B"/>
    <w:rsid w:val="00114D1E"/>
    <w:rsid w:val="00133D95"/>
    <w:rsid w:val="001346DA"/>
    <w:rsid w:val="00137AFF"/>
    <w:rsid w:val="0016189B"/>
    <w:rsid w:val="0017466F"/>
    <w:rsid w:val="00194CB6"/>
    <w:rsid w:val="001A15F2"/>
    <w:rsid w:val="001B1AD6"/>
    <w:rsid w:val="001C6B2E"/>
    <w:rsid w:val="001D2848"/>
    <w:rsid w:val="001D2B44"/>
    <w:rsid w:val="001D2CE6"/>
    <w:rsid w:val="001D608B"/>
    <w:rsid w:val="001D7FC8"/>
    <w:rsid w:val="001E24A1"/>
    <w:rsid w:val="001F2780"/>
    <w:rsid w:val="00201439"/>
    <w:rsid w:val="00220E1A"/>
    <w:rsid w:val="00231B3A"/>
    <w:rsid w:val="0024637D"/>
    <w:rsid w:val="00252B04"/>
    <w:rsid w:val="00263110"/>
    <w:rsid w:val="00277DCA"/>
    <w:rsid w:val="00291237"/>
    <w:rsid w:val="00291520"/>
    <w:rsid w:val="00294952"/>
    <w:rsid w:val="002B03DA"/>
    <w:rsid w:val="002B2D50"/>
    <w:rsid w:val="002C65C6"/>
    <w:rsid w:val="002D21E6"/>
    <w:rsid w:val="00316CA6"/>
    <w:rsid w:val="00321256"/>
    <w:rsid w:val="00327A6B"/>
    <w:rsid w:val="00327E10"/>
    <w:rsid w:val="00334A77"/>
    <w:rsid w:val="00340DBC"/>
    <w:rsid w:val="003459FC"/>
    <w:rsid w:val="00362B46"/>
    <w:rsid w:val="003924A1"/>
    <w:rsid w:val="0039615B"/>
    <w:rsid w:val="003A50FB"/>
    <w:rsid w:val="003B1A9A"/>
    <w:rsid w:val="003B5586"/>
    <w:rsid w:val="003B7F69"/>
    <w:rsid w:val="003D3A3E"/>
    <w:rsid w:val="003E0B1B"/>
    <w:rsid w:val="003E19B6"/>
    <w:rsid w:val="00403848"/>
    <w:rsid w:val="004162D7"/>
    <w:rsid w:val="0043339C"/>
    <w:rsid w:val="0047487A"/>
    <w:rsid w:val="00481585"/>
    <w:rsid w:val="00484425"/>
    <w:rsid w:val="00484B44"/>
    <w:rsid w:val="004A4D79"/>
    <w:rsid w:val="004C3D1B"/>
    <w:rsid w:val="004C52F2"/>
    <w:rsid w:val="004E0C87"/>
    <w:rsid w:val="004E22D6"/>
    <w:rsid w:val="004F0791"/>
    <w:rsid w:val="00505884"/>
    <w:rsid w:val="00522475"/>
    <w:rsid w:val="00536FCE"/>
    <w:rsid w:val="00542CDA"/>
    <w:rsid w:val="00547611"/>
    <w:rsid w:val="005549BF"/>
    <w:rsid w:val="00564BAA"/>
    <w:rsid w:val="00585D49"/>
    <w:rsid w:val="005932CA"/>
    <w:rsid w:val="005B3BBE"/>
    <w:rsid w:val="005D3CA6"/>
    <w:rsid w:val="005D7629"/>
    <w:rsid w:val="005E5A95"/>
    <w:rsid w:val="00646A52"/>
    <w:rsid w:val="006537F7"/>
    <w:rsid w:val="00653EBA"/>
    <w:rsid w:val="00662880"/>
    <w:rsid w:val="00680E2C"/>
    <w:rsid w:val="006A523D"/>
    <w:rsid w:val="006A7A91"/>
    <w:rsid w:val="006B41F7"/>
    <w:rsid w:val="006C1530"/>
    <w:rsid w:val="006E537A"/>
    <w:rsid w:val="006E5787"/>
    <w:rsid w:val="006F6060"/>
    <w:rsid w:val="006F75D5"/>
    <w:rsid w:val="00703FDB"/>
    <w:rsid w:val="00710807"/>
    <w:rsid w:val="00733273"/>
    <w:rsid w:val="0074563A"/>
    <w:rsid w:val="0075268E"/>
    <w:rsid w:val="00762DB3"/>
    <w:rsid w:val="00771AAC"/>
    <w:rsid w:val="00771CE2"/>
    <w:rsid w:val="007731A8"/>
    <w:rsid w:val="007767BA"/>
    <w:rsid w:val="007810BA"/>
    <w:rsid w:val="007858FB"/>
    <w:rsid w:val="007866EA"/>
    <w:rsid w:val="007A4011"/>
    <w:rsid w:val="007A4844"/>
    <w:rsid w:val="007B0CF4"/>
    <w:rsid w:val="007B6D46"/>
    <w:rsid w:val="007D2F8F"/>
    <w:rsid w:val="007E02FA"/>
    <w:rsid w:val="007E5D79"/>
    <w:rsid w:val="00807375"/>
    <w:rsid w:val="00821525"/>
    <w:rsid w:val="008251D9"/>
    <w:rsid w:val="00836F4C"/>
    <w:rsid w:val="00847A2A"/>
    <w:rsid w:val="00862A42"/>
    <w:rsid w:val="00894BB6"/>
    <w:rsid w:val="008B3360"/>
    <w:rsid w:val="008C22A0"/>
    <w:rsid w:val="008F5ED0"/>
    <w:rsid w:val="00906C2A"/>
    <w:rsid w:val="00912ECA"/>
    <w:rsid w:val="00930BBB"/>
    <w:rsid w:val="009466C4"/>
    <w:rsid w:val="00951B9F"/>
    <w:rsid w:val="00965E33"/>
    <w:rsid w:val="009679A4"/>
    <w:rsid w:val="009712FA"/>
    <w:rsid w:val="009877EE"/>
    <w:rsid w:val="009B038C"/>
    <w:rsid w:val="009C147F"/>
    <w:rsid w:val="009D6D3F"/>
    <w:rsid w:val="009F5949"/>
    <w:rsid w:val="00A02C24"/>
    <w:rsid w:val="00A164A9"/>
    <w:rsid w:val="00A528BB"/>
    <w:rsid w:val="00A62E30"/>
    <w:rsid w:val="00A82B06"/>
    <w:rsid w:val="00A85F88"/>
    <w:rsid w:val="00A95A5F"/>
    <w:rsid w:val="00A9672B"/>
    <w:rsid w:val="00AA742B"/>
    <w:rsid w:val="00AB463C"/>
    <w:rsid w:val="00AC79D8"/>
    <w:rsid w:val="00AD0C78"/>
    <w:rsid w:val="00AE16AA"/>
    <w:rsid w:val="00AF6262"/>
    <w:rsid w:val="00B31EE3"/>
    <w:rsid w:val="00B44841"/>
    <w:rsid w:val="00B60522"/>
    <w:rsid w:val="00B73A9B"/>
    <w:rsid w:val="00B84670"/>
    <w:rsid w:val="00B93010"/>
    <w:rsid w:val="00BA13AA"/>
    <w:rsid w:val="00BB5076"/>
    <w:rsid w:val="00BB6981"/>
    <w:rsid w:val="00BF2257"/>
    <w:rsid w:val="00BF3723"/>
    <w:rsid w:val="00C00F71"/>
    <w:rsid w:val="00C1137D"/>
    <w:rsid w:val="00C11A7F"/>
    <w:rsid w:val="00C27A78"/>
    <w:rsid w:val="00C468F3"/>
    <w:rsid w:val="00C62709"/>
    <w:rsid w:val="00C703A2"/>
    <w:rsid w:val="00C74347"/>
    <w:rsid w:val="00C80019"/>
    <w:rsid w:val="00C82B5B"/>
    <w:rsid w:val="00C86544"/>
    <w:rsid w:val="00C92B24"/>
    <w:rsid w:val="00CB382A"/>
    <w:rsid w:val="00CD1BF6"/>
    <w:rsid w:val="00CD29EB"/>
    <w:rsid w:val="00CE2209"/>
    <w:rsid w:val="00CE3409"/>
    <w:rsid w:val="00CE4274"/>
    <w:rsid w:val="00CE614E"/>
    <w:rsid w:val="00CF5927"/>
    <w:rsid w:val="00CF6A6E"/>
    <w:rsid w:val="00D1069F"/>
    <w:rsid w:val="00D10DE7"/>
    <w:rsid w:val="00D11FF8"/>
    <w:rsid w:val="00D14E51"/>
    <w:rsid w:val="00D27819"/>
    <w:rsid w:val="00D61FB9"/>
    <w:rsid w:val="00D62FD2"/>
    <w:rsid w:val="00D63FA5"/>
    <w:rsid w:val="00D70C4E"/>
    <w:rsid w:val="00D93E9B"/>
    <w:rsid w:val="00D9777B"/>
    <w:rsid w:val="00DA4E1A"/>
    <w:rsid w:val="00DB3235"/>
    <w:rsid w:val="00DC1EB6"/>
    <w:rsid w:val="00DC2B97"/>
    <w:rsid w:val="00DD02F2"/>
    <w:rsid w:val="00E10688"/>
    <w:rsid w:val="00E13FAE"/>
    <w:rsid w:val="00E20FA0"/>
    <w:rsid w:val="00E22011"/>
    <w:rsid w:val="00E30721"/>
    <w:rsid w:val="00E375C5"/>
    <w:rsid w:val="00E6006A"/>
    <w:rsid w:val="00E64D90"/>
    <w:rsid w:val="00E71CE4"/>
    <w:rsid w:val="00E73897"/>
    <w:rsid w:val="00E73927"/>
    <w:rsid w:val="00E87ACC"/>
    <w:rsid w:val="00E94FF9"/>
    <w:rsid w:val="00EA4128"/>
    <w:rsid w:val="00ED3747"/>
    <w:rsid w:val="00ED3DA6"/>
    <w:rsid w:val="00EF579C"/>
    <w:rsid w:val="00F22AD6"/>
    <w:rsid w:val="00F31946"/>
    <w:rsid w:val="00F37F8B"/>
    <w:rsid w:val="00F632FB"/>
    <w:rsid w:val="00F746BB"/>
    <w:rsid w:val="00F86ECA"/>
    <w:rsid w:val="00F933DD"/>
    <w:rsid w:val="00F95312"/>
    <w:rsid w:val="00FB7677"/>
    <w:rsid w:val="00FC3C04"/>
    <w:rsid w:val="00FD411F"/>
    <w:rsid w:val="00FE067C"/>
    <w:rsid w:val="00FF09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558BB-F2D8-4D20-A784-4BEF9C9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39"/>
    <w:rPr>
      <w:sz w:val="24"/>
      <w:szCs w:val="24"/>
      <w:lang w:eastAsia="en-US"/>
    </w:rPr>
  </w:style>
  <w:style w:type="paragraph" w:styleId="Heading1">
    <w:name w:val="heading 1"/>
    <w:basedOn w:val="Normal"/>
    <w:next w:val="Normal"/>
    <w:qFormat/>
    <w:rsid w:val="007D6ECE"/>
    <w:pPr>
      <w:keepNext/>
      <w:spacing w:before="240" w:after="60"/>
      <w:jc w:val="right"/>
      <w:outlineLvl w:val="0"/>
    </w:pPr>
    <w:rPr>
      <w:rFonts w:ascii="Arial" w:hAnsi="Arial" w:cs="Arial"/>
      <w:bCs/>
      <w:kern w:val="32"/>
      <w:sz w:val="60"/>
      <w:szCs w:val="32"/>
    </w:rPr>
  </w:style>
  <w:style w:type="paragraph" w:styleId="Heading2">
    <w:name w:val="heading 2"/>
    <w:basedOn w:val="Normal"/>
    <w:next w:val="Normal"/>
    <w:qFormat/>
    <w:rsid w:val="007D6ECE"/>
    <w:pPr>
      <w:keepNext/>
      <w:spacing w:before="240" w:after="60"/>
      <w:jc w:val="right"/>
      <w:outlineLvl w:val="1"/>
    </w:pPr>
    <w:rPr>
      <w:rFonts w:ascii="Arial" w:hAnsi="Arial" w:cs="Arial"/>
      <w:bCs/>
      <w:iCs/>
      <w:sz w:val="36"/>
      <w:szCs w:val="28"/>
    </w:rPr>
  </w:style>
  <w:style w:type="paragraph" w:styleId="Heading3">
    <w:name w:val="heading 3"/>
    <w:basedOn w:val="Normal"/>
    <w:next w:val="Normal"/>
    <w:link w:val="Heading3Char"/>
    <w:uiPriority w:val="9"/>
    <w:semiHidden/>
    <w:unhideWhenUsed/>
    <w:qFormat/>
    <w:rsid w:val="006A7A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ECE"/>
    <w:pPr>
      <w:tabs>
        <w:tab w:val="center" w:pos="4320"/>
        <w:tab w:val="right" w:pos="8640"/>
      </w:tabs>
    </w:pPr>
  </w:style>
  <w:style w:type="paragraph" w:styleId="Footer">
    <w:name w:val="footer"/>
    <w:basedOn w:val="Normal"/>
    <w:link w:val="FooterChar"/>
    <w:uiPriority w:val="99"/>
    <w:rsid w:val="007D6ECE"/>
    <w:pPr>
      <w:tabs>
        <w:tab w:val="center" w:pos="4320"/>
        <w:tab w:val="right" w:pos="8640"/>
      </w:tabs>
    </w:pPr>
  </w:style>
  <w:style w:type="paragraph" w:customStyle="1" w:styleId="FrontBottom">
    <w:name w:val="FrontBottom"/>
    <w:basedOn w:val="Normal"/>
    <w:rsid w:val="0057469C"/>
    <w:rPr>
      <w:rFonts w:ascii="Arial" w:hAnsi="Arial" w:cs="Arial"/>
      <w:color w:val="808080"/>
      <w:sz w:val="22"/>
      <w:szCs w:val="22"/>
      <w:lang w:val="en-US"/>
    </w:rPr>
  </w:style>
  <w:style w:type="paragraph" w:customStyle="1" w:styleId="Subhead1">
    <w:name w:val="Subhead 1"/>
    <w:basedOn w:val="BodyText1"/>
    <w:rsid w:val="0057469C"/>
    <w:pPr>
      <w:spacing w:before="57" w:after="113"/>
    </w:pPr>
    <w:rPr>
      <w:b/>
      <w:bCs/>
      <w:color w:val="auto"/>
    </w:rPr>
  </w:style>
  <w:style w:type="paragraph" w:customStyle="1" w:styleId="BodyText1">
    <w:name w:val="Body Text1"/>
    <w:rsid w:val="0057469C"/>
    <w:pPr>
      <w:autoSpaceDE w:val="0"/>
      <w:autoSpaceDN w:val="0"/>
      <w:adjustRightInd w:val="0"/>
    </w:pPr>
    <w:rPr>
      <w:rFonts w:ascii="Arial" w:hAnsi="Arial" w:cs="Arial"/>
      <w:color w:val="000000"/>
      <w:sz w:val="22"/>
      <w:szCs w:val="22"/>
      <w:lang w:val="en-US" w:eastAsia="en-US"/>
    </w:rPr>
  </w:style>
  <w:style w:type="paragraph" w:styleId="FootnoteText">
    <w:name w:val="footnote text"/>
    <w:basedOn w:val="Normal"/>
    <w:semiHidden/>
    <w:rsid w:val="00CB15E2"/>
    <w:rPr>
      <w:rFonts w:ascii="Arial" w:hAnsi="Arial"/>
      <w:sz w:val="20"/>
      <w:szCs w:val="20"/>
    </w:rPr>
  </w:style>
  <w:style w:type="character" w:styleId="FootnoteReference">
    <w:name w:val="footnote reference"/>
    <w:basedOn w:val="DefaultParagraphFont"/>
    <w:semiHidden/>
    <w:rsid w:val="00CB15E2"/>
    <w:rPr>
      <w:vertAlign w:val="superscript"/>
    </w:rPr>
  </w:style>
  <w:style w:type="table" w:styleId="TableGrid">
    <w:name w:val="Table Grid"/>
    <w:basedOn w:val="TableNormal"/>
    <w:uiPriority w:val="59"/>
    <w:rsid w:val="000A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85B"/>
    <w:pPr>
      <w:autoSpaceDE w:val="0"/>
      <w:autoSpaceDN w:val="0"/>
      <w:adjustRightInd w:val="0"/>
    </w:pPr>
    <w:rPr>
      <w:color w:val="000000"/>
      <w:sz w:val="24"/>
      <w:szCs w:val="24"/>
      <w:lang w:val="es-ES" w:eastAsia="es-ES"/>
    </w:rPr>
  </w:style>
  <w:style w:type="paragraph" w:styleId="BalloonText">
    <w:name w:val="Balloon Text"/>
    <w:basedOn w:val="Normal"/>
    <w:link w:val="BalloonTextChar"/>
    <w:uiPriority w:val="99"/>
    <w:semiHidden/>
    <w:unhideWhenUsed/>
    <w:rsid w:val="00E94FF9"/>
    <w:rPr>
      <w:rFonts w:ascii="Tahoma" w:hAnsi="Tahoma" w:cs="Tahoma"/>
      <w:sz w:val="16"/>
      <w:szCs w:val="16"/>
    </w:rPr>
  </w:style>
  <w:style w:type="character" w:customStyle="1" w:styleId="BalloonTextChar">
    <w:name w:val="Balloon Text Char"/>
    <w:basedOn w:val="DefaultParagraphFont"/>
    <w:link w:val="BalloonText"/>
    <w:uiPriority w:val="99"/>
    <w:semiHidden/>
    <w:rsid w:val="00E94FF9"/>
    <w:rPr>
      <w:rFonts w:ascii="Tahoma" w:hAnsi="Tahoma" w:cs="Tahoma"/>
      <w:sz w:val="16"/>
      <w:szCs w:val="16"/>
      <w:lang w:eastAsia="en-US"/>
    </w:rPr>
  </w:style>
  <w:style w:type="paragraph" w:styleId="ListParagraph">
    <w:name w:val="List Paragraph"/>
    <w:basedOn w:val="Normal"/>
    <w:uiPriority w:val="34"/>
    <w:qFormat/>
    <w:rsid w:val="00DD02F2"/>
    <w:pPr>
      <w:ind w:left="720"/>
      <w:contextualSpacing/>
    </w:pPr>
  </w:style>
  <w:style w:type="paragraph" w:styleId="Title">
    <w:name w:val="Title"/>
    <w:basedOn w:val="Normal"/>
    <w:next w:val="Normal"/>
    <w:link w:val="TitleChar"/>
    <w:uiPriority w:val="10"/>
    <w:qFormat/>
    <w:rsid w:val="000959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94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AF6262"/>
    <w:rPr>
      <w:sz w:val="24"/>
      <w:szCs w:val="24"/>
      <w:lang w:eastAsia="en-US"/>
    </w:rPr>
  </w:style>
  <w:style w:type="character" w:customStyle="1" w:styleId="apple-converted-space">
    <w:name w:val="apple-converted-space"/>
    <w:basedOn w:val="DefaultParagraphFont"/>
    <w:rsid w:val="00D93E9B"/>
  </w:style>
  <w:style w:type="character" w:styleId="Emphasis">
    <w:name w:val="Emphasis"/>
    <w:basedOn w:val="DefaultParagraphFont"/>
    <w:uiPriority w:val="20"/>
    <w:qFormat/>
    <w:rsid w:val="00D93E9B"/>
    <w:rPr>
      <w:i/>
      <w:iCs/>
    </w:rPr>
  </w:style>
  <w:style w:type="character" w:customStyle="1" w:styleId="Heading3Char">
    <w:name w:val="Heading 3 Char"/>
    <w:basedOn w:val="DefaultParagraphFont"/>
    <w:link w:val="Heading3"/>
    <w:uiPriority w:val="9"/>
    <w:semiHidden/>
    <w:rsid w:val="006A7A9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6282">
      <w:bodyDiv w:val="1"/>
      <w:marLeft w:val="0"/>
      <w:marRight w:val="0"/>
      <w:marTop w:val="0"/>
      <w:marBottom w:val="0"/>
      <w:divBdr>
        <w:top w:val="none" w:sz="0" w:space="0" w:color="auto"/>
        <w:left w:val="none" w:sz="0" w:space="0" w:color="auto"/>
        <w:bottom w:val="none" w:sz="0" w:space="0" w:color="auto"/>
        <w:right w:val="none" w:sz="0" w:space="0" w:color="auto"/>
      </w:divBdr>
      <w:divsChild>
        <w:div w:id="1403063900">
          <w:marLeft w:val="0"/>
          <w:marRight w:val="0"/>
          <w:marTop w:val="0"/>
          <w:marBottom w:val="0"/>
          <w:divBdr>
            <w:top w:val="none" w:sz="0" w:space="0" w:color="auto"/>
            <w:left w:val="none" w:sz="0" w:space="0" w:color="auto"/>
            <w:bottom w:val="none" w:sz="0" w:space="0" w:color="auto"/>
            <w:right w:val="none" w:sz="0" w:space="0" w:color="auto"/>
          </w:divBdr>
        </w:div>
        <w:div w:id="1644770447">
          <w:marLeft w:val="0"/>
          <w:marRight w:val="0"/>
          <w:marTop w:val="0"/>
          <w:marBottom w:val="0"/>
          <w:divBdr>
            <w:top w:val="none" w:sz="0" w:space="0" w:color="auto"/>
            <w:left w:val="none" w:sz="0" w:space="0" w:color="auto"/>
            <w:bottom w:val="none" w:sz="0" w:space="0" w:color="auto"/>
            <w:right w:val="none" w:sz="0" w:space="0" w:color="auto"/>
          </w:divBdr>
        </w:div>
        <w:div w:id="1728412205">
          <w:marLeft w:val="0"/>
          <w:marRight w:val="0"/>
          <w:marTop w:val="0"/>
          <w:marBottom w:val="0"/>
          <w:divBdr>
            <w:top w:val="none" w:sz="0" w:space="0" w:color="auto"/>
            <w:left w:val="none" w:sz="0" w:space="0" w:color="auto"/>
            <w:bottom w:val="none" w:sz="0" w:space="0" w:color="auto"/>
            <w:right w:val="none" w:sz="0" w:space="0" w:color="auto"/>
          </w:divBdr>
        </w:div>
        <w:div w:id="1135635835">
          <w:marLeft w:val="0"/>
          <w:marRight w:val="0"/>
          <w:marTop w:val="0"/>
          <w:marBottom w:val="0"/>
          <w:divBdr>
            <w:top w:val="none" w:sz="0" w:space="0" w:color="auto"/>
            <w:left w:val="none" w:sz="0" w:space="0" w:color="auto"/>
            <w:bottom w:val="none" w:sz="0" w:space="0" w:color="auto"/>
            <w:right w:val="none" w:sz="0" w:space="0" w:color="auto"/>
          </w:divBdr>
        </w:div>
        <w:div w:id="1073508667">
          <w:marLeft w:val="0"/>
          <w:marRight w:val="0"/>
          <w:marTop w:val="0"/>
          <w:marBottom w:val="0"/>
          <w:divBdr>
            <w:top w:val="none" w:sz="0" w:space="0" w:color="auto"/>
            <w:left w:val="none" w:sz="0" w:space="0" w:color="auto"/>
            <w:bottom w:val="none" w:sz="0" w:space="0" w:color="auto"/>
            <w:right w:val="none" w:sz="0" w:space="0" w:color="auto"/>
          </w:divBdr>
        </w:div>
        <w:div w:id="211768275">
          <w:marLeft w:val="0"/>
          <w:marRight w:val="0"/>
          <w:marTop w:val="0"/>
          <w:marBottom w:val="0"/>
          <w:divBdr>
            <w:top w:val="none" w:sz="0" w:space="0" w:color="auto"/>
            <w:left w:val="none" w:sz="0" w:space="0" w:color="auto"/>
            <w:bottom w:val="none" w:sz="0" w:space="0" w:color="auto"/>
            <w:right w:val="none" w:sz="0" w:space="0" w:color="auto"/>
          </w:divBdr>
        </w:div>
        <w:div w:id="1822311903">
          <w:marLeft w:val="0"/>
          <w:marRight w:val="0"/>
          <w:marTop w:val="0"/>
          <w:marBottom w:val="0"/>
          <w:divBdr>
            <w:top w:val="none" w:sz="0" w:space="0" w:color="auto"/>
            <w:left w:val="none" w:sz="0" w:space="0" w:color="auto"/>
            <w:bottom w:val="none" w:sz="0" w:space="0" w:color="auto"/>
            <w:right w:val="none" w:sz="0" w:space="0" w:color="auto"/>
          </w:divBdr>
        </w:div>
        <w:div w:id="714279787">
          <w:marLeft w:val="0"/>
          <w:marRight w:val="0"/>
          <w:marTop w:val="0"/>
          <w:marBottom w:val="0"/>
          <w:divBdr>
            <w:top w:val="none" w:sz="0" w:space="0" w:color="auto"/>
            <w:left w:val="none" w:sz="0" w:space="0" w:color="auto"/>
            <w:bottom w:val="none" w:sz="0" w:space="0" w:color="auto"/>
            <w:right w:val="none" w:sz="0" w:space="0" w:color="auto"/>
          </w:divBdr>
        </w:div>
        <w:div w:id="111750641">
          <w:marLeft w:val="0"/>
          <w:marRight w:val="0"/>
          <w:marTop w:val="0"/>
          <w:marBottom w:val="0"/>
          <w:divBdr>
            <w:top w:val="none" w:sz="0" w:space="0" w:color="auto"/>
            <w:left w:val="none" w:sz="0" w:space="0" w:color="auto"/>
            <w:bottom w:val="none" w:sz="0" w:space="0" w:color="auto"/>
            <w:right w:val="none" w:sz="0" w:space="0" w:color="auto"/>
          </w:divBdr>
        </w:div>
      </w:divsChild>
    </w:div>
    <w:div w:id="527913690">
      <w:bodyDiv w:val="1"/>
      <w:marLeft w:val="0"/>
      <w:marRight w:val="0"/>
      <w:marTop w:val="0"/>
      <w:marBottom w:val="0"/>
      <w:divBdr>
        <w:top w:val="none" w:sz="0" w:space="0" w:color="auto"/>
        <w:left w:val="none" w:sz="0" w:space="0" w:color="auto"/>
        <w:bottom w:val="none" w:sz="0" w:space="0" w:color="auto"/>
        <w:right w:val="none" w:sz="0" w:space="0" w:color="auto"/>
      </w:divBdr>
    </w:div>
    <w:div w:id="634876935">
      <w:bodyDiv w:val="1"/>
      <w:marLeft w:val="0"/>
      <w:marRight w:val="0"/>
      <w:marTop w:val="0"/>
      <w:marBottom w:val="0"/>
      <w:divBdr>
        <w:top w:val="none" w:sz="0" w:space="0" w:color="auto"/>
        <w:left w:val="none" w:sz="0" w:space="0" w:color="auto"/>
        <w:bottom w:val="none" w:sz="0" w:space="0" w:color="auto"/>
        <w:right w:val="none" w:sz="0" w:space="0" w:color="auto"/>
      </w:divBdr>
    </w:div>
    <w:div w:id="79707249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94">
          <w:marLeft w:val="0"/>
          <w:marRight w:val="0"/>
          <w:marTop w:val="0"/>
          <w:marBottom w:val="0"/>
          <w:divBdr>
            <w:top w:val="none" w:sz="0" w:space="0" w:color="auto"/>
            <w:left w:val="none" w:sz="0" w:space="0" w:color="auto"/>
            <w:bottom w:val="none" w:sz="0" w:space="0" w:color="auto"/>
            <w:right w:val="none" w:sz="0" w:space="0" w:color="auto"/>
          </w:divBdr>
        </w:div>
        <w:div w:id="1454131766">
          <w:marLeft w:val="0"/>
          <w:marRight w:val="0"/>
          <w:marTop w:val="0"/>
          <w:marBottom w:val="0"/>
          <w:divBdr>
            <w:top w:val="none" w:sz="0" w:space="0" w:color="auto"/>
            <w:left w:val="none" w:sz="0" w:space="0" w:color="auto"/>
            <w:bottom w:val="none" w:sz="0" w:space="0" w:color="auto"/>
            <w:right w:val="none" w:sz="0" w:space="0" w:color="auto"/>
          </w:divBdr>
        </w:div>
        <w:div w:id="81681246">
          <w:marLeft w:val="0"/>
          <w:marRight w:val="0"/>
          <w:marTop w:val="0"/>
          <w:marBottom w:val="0"/>
          <w:divBdr>
            <w:top w:val="none" w:sz="0" w:space="0" w:color="auto"/>
            <w:left w:val="none" w:sz="0" w:space="0" w:color="auto"/>
            <w:bottom w:val="none" w:sz="0" w:space="0" w:color="auto"/>
            <w:right w:val="none" w:sz="0" w:space="0" w:color="auto"/>
          </w:divBdr>
        </w:div>
        <w:div w:id="1346665919">
          <w:marLeft w:val="0"/>
          <w:marRight w:val="0"/>
          <w:marTop w:val="0"/>
          <w:marBottom w:val="0"/>
          <w:divBdr>
            <w:top w:val="none" w:sz="0" w:space="0" w:color="auto"/>
            <w:left w:val="none" w:sz="0" w:space="0" w:color="auto"/>
            <w:bottom w:val="none" w:sz="0" w:space="0" w:color="auto"/>
            <w:right w:val="none" w:sz="0" w:space="0" w:color="auto"/>
          </w:divBdr>
        </w:div>
      </w:divsChild>
    </w:div>
    <w:div w:id="1890916706">
      <w:bodyDiv w:val="1"/>
      <w:marLeft w:val="0"/>
      <w:marRight w:val="0"/>
      <w:marTop w:val="0"/>
      <w:marBottom w:val="0"/>
      <w:divBdr>
        <w:top w:val="none" w:sz="0" w:space="0" w:color="auto"/>
        <w:left w:val="none" w:sz="0" w:space="0" w:color="auto"/>
        <w:bottom w:val="none" w:sz="0" w:space="0" w:color="auto"/>
        <w:right w:val="none" w:sz="0" w:space="0" w:color="auto"/>
      </w:divBdr>
    </w:div>
    <w:div w:id="2064022230">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2B14-CC8C-4B1E-8F68-B19CF09B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1031</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Hewlett-Packard Company</Company>
  <LinksUpToDate>false</LinksUpToDate>
  <CharactersWithSpaces>6690</CharactersWithSpaces>
  <SharedDoc>false</SharedDoc>
  <HLinks>
    <vt:vector size="6" baseType="variant">
      <vt:variant>
        <vt:i4>2621500</vt:i4>
      </vt:variant>
      <vt:variant>
        <vt:i4>0</vt:i4>
      </vt:variant>
      <vt:variant>
        <vt:i4>0</vt:i4>
      </vt:variant>
      <vt:variant>
        <vt:i4>5</vt:i4>
      </vt:variant>
      <vt:variant>
        <vt:lpwstr>http://www.iucn.org/redlist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Especies 1</dc:creator>
  <cp:lastModifiedBy>Violeta BARRIOS</cp:lastModifiedBy>
  <cp:revision>5</cp:revision>
  <cp:lastPrinted>2016-07-12T10:33:00Z</cp:lastPrinted>
  <dcterms:created xsi:type="dcterms:W3CDTF">2017-11-27T15:20:00Z</dcterms:created>
  <dcterms:modified xsi:type="dcterms:W3CDTF">2017-11-27T15:47:00Z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